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02" w:rsidRDefault="006B0002" w:rsidP="00CE15F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>
        <w:rPr>
          <w:rFonts w:ascii="Open Sans" w:eastAsia="Times New Roman" w:hAnsi="Open Sans" w:cs="Open Sans"/>
          <w:color w:val="333333"/>
          <w:lang w:eastAsia="pt-BR"/>
        </w:rPr>
        <w:t>Atividade 4</w:t>
      </w:r>
      <w:bookmarkStart w:id="0" w:name="_GoBack"/>
      <w:bookmarkEnd w:id="0"/>
    </w:p>
    <w:p w:rsidR="00CE15F7" w:rsidRPr="00CE15F7" w:rsidRDefault="00CE15F7" w:rsidP="00CE15F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Marque a alternativa verdadeira:</w:t>
      </w:r>
    </w:p>
    <w:p w:rsidR="00CE15F7" w:rsidRPr="00CE15F7" w:rsidRDefault="00CE15F7" w:rsidP="00CE1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4" o:title=""/>
          </v:shape>
          <w:control r:id="rId5" w:name="DefaultOcxName" w:shapeid="_x0000_i1076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a. Para cada Termo de Compromisso assinado deverá ser elaborado um processo de </w:t>
      </w:r>
      <w:hyperlink r:id="rId6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 em duas </w:t>
      </w:r>
      <w:proofErr w:type="spellStart"/>
      <w:r w:rsidRPr="00CE15F7">
        <w:rPr>
          <w:rFonts w:ascii="Open Sans" w:eastAsia="Times New Roman" w:hAnsi="Open Sans" w:cs="Open Sans"/>
          <w:color w:val="333333"/>
          <w:lang w:eastAsia="pt-BR"/>
        </w:rPr>
        <w:t>viasde</w:t>
      </w:r>
      <w:proofErr w:type="spellEnd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igual teor e forma, devendo a cópia ser apresentado à SRE em até 30 (trinta) dias após o término da vigência do instrumento jurídico, e a via original mantida nos arquivos da Caixa Escolar em boa ordem.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079" type="#_x0000_t75" style="width:20.25pt;height:18pt" o:ole="">
            <v:imagedata r:id="rId4" o:title=""/>
          </v:shape>
          <w:control r:id="rId7" w:name="DefaultOcxName1" w:shapeid="_x0000_i1079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b. Para cada Termo de Compromisso assinado deverá ser elaborado um processo de </w:t>
      </w:r>
      <w:hyperlink r:id="rId8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 em duas </w:t>
      </w:r>
      <w:proofErr w:type="spellStart"/>
      <w:r w:rsidRPr="00CE15F7">
        <w:rPr>
          <w:rFonts w:ascii="Open Sans" w:eastAsia="Times New Roman" w:hAnsi="Open Sans" w:cs="Open Sans"/>
          <w:color w:val="333333"/>
          <w:lang w:eastAsia="pt-BR"/>
        </w:rPr>
        <w:t>viasde</w:t>
      </w:r>
      <w:proofErr w:type="spellEnd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igual teor e forma, devendo o original ser apresentado à SRE em até 30 (trinta) dias após o término da vigência do instrumento jurídico, inclusive dos recursos do PDDE e suas ações agregadas, e a segunda via mantida nos arquivos da Caixa Escolar em boa ordem.</w:t>
      </w:r>
    </w:p>
    <w:p w:rsidR="00CE15F7" w:rsidRPr="00CE15F7" w:rsidRDefault="00CE15F7" w:rsidP="00CE15F7">
      <w:pPr>
        <w:shd w:val="clear" w:color="auto" w:fill="DFF0D8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082" type="#_x0000_t75" style="width:20.25pt;height:18pt" o:ole="">
            <v:imagedata r:id="rId9" o:title=""/>
          </v:shape>
          <w:control r:id="rId10" w:name="DefaultOcxName2" w:shapeid="_x0000_i1082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c. Para cada Termo de Compromisso assinado deverá ser elaborado um processo de </w:t>
      </w:r>
      <w:hyperlink r:id="rId11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 em duas </w:t>
      </w:r>
      <w:proofErr w:type="spellStart"/>
      <w:r w:rsidRPr="00CE15F7">
        <w:rPr>
          <w:rFonts w:ascii="Open Sans" w:eastAsia="Times New Roman" w:hAnsi="Open Sans" w:cs="Open Sans"/>
          <w:color w:val="333333"/>
          <w:lang w:eastAsia="pt-BR"/>
        </w:rPr>
        <w:t>viasde</w:t>
      </w:r>
      <w:proofErr w:type="spellEnd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igual teor e forma, devendo o original ser apresentado à SRE em até 30 (trinta) dias após o término da vigência do instrumento jurídico, e a segunda via mantida nos arquivos da Caixa Escolar em boa ordem. </w:t>
      </w:r>
      <w:r w:rsidRPr="00CE15F7">
        <w:rPr>
          <w:rFonts w:ascii="Open Sans" w:eastAsia="Times New Roman" w:hAnsi="Open Sans" w:cs="Open Sans"/>
          <w:noProof/>
          <w:color w:val="333333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Cor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8CC05F" id="Retângulo 1" o:spid="_x0000_s1026" alt="Corre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iZXxL8C&#10;AADI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085" type="#_x0000_t75" style="width:20.25pt;height:18pt" o:ole="">
            <v:imagedata r:id="rId4" o:title=""/>
          </v:shape>
          <w:control r:id="rId12" w:name="DefaultOcxName3" w:shapeid="_x0000_i1085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d. Em conformidade com cada objeto executado, deverá ser elaborado um processo de </w:t>
      </w:r>
      <w:hyperlink r:id="rId13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 em duas </w:t>
      </w:r>
      <w:proofErr w:type="spellStart"/>
      <w:r w:rsidRPr="00CE15F7">
        <w:rPr>
          <w:rFonts w:ascii="Open Sans" w:eastAsia="Times New Roman" w:hAnsi="Open Sans" w:cs="Open Sans"/>
          <w:color w:val="333333"/>
          <w:lang w:eastAsia="pt-BR"/>
        </w:rPr>
        <w:t>viasde</w:t>
      </w:r>
      <w:proofErr w:type="spellEnd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igual teor e forma, devendo o original ser apresentado à SRE em até 30 (trinta) dias após o término da vigência do instrumento jurídico, e a segunda via mantida nos arquivos da Caixa Escolar em boa ordem.</w:t>
      </w:r>
    </w:p>
    <w:p w:rsidR="00CE15F7" w:rsidRPr="00CE15F7" w:rsidRDefault="00CE15F7" w:rsidP="00CE15F7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088" type="#_x0000_t75" style="width:20.25pt;height:18pt" o:ole="">
            <v:imagedata r:id="rId4" o:title=""/>
          </v:shape>
          <w:control r:id="rId14" w:name="DefaultOcxName4" w:shapeid="_x0000_i1088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e. Para cada recurso do PDDE e suas ações agregadas recebido, deverá ser elaborado </w:t>
      </w:r>
      <w:proofErr w:type="gramStart"/>
      <w:r w:rsidRPr="00CE15F7">
        <w:rPr>
          <w:rFonts w:ascii="Open Sans" w:eastAsia="Times New Roman" w:hAnsi="Open Sans" w:cs="Open Sans"/>
          <w:color w:val="333333"/>
          <w:lang w:eastAsia="pt-BR"/>
        </w:rPr>
        <w:t>um</w:t>
      </w:r>
      <w:proofErr w:type="gramEnd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processo de </w:t>
      </w:r>
      <w:hyperlink r:id="rId15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 em duas </w:t>
      </w:r>
      <w:proofErr w:type="spellStart"/>
      <w:r w:rsidRPr="00CE15F7">
        <w:rPr>
          <w:rFonts w:ascii="Open Sans" w:eastAsia="Times New Roman" w:hAnsi="Open Sans" w:cs="Open Sans"/>
          <w:color w:val="333333"/>
          <w:lang w:eastAsia="pt-BR"/>
        </w:rPr>
        <w:t>viasde</w:t>
      </w:r>
      <w:proofErr w:type="spellEnd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igual teor e forma, devendo a cópia ser apresentado à SRE em até 30 (trinta) dias após o término da vigência do instrumento jurídico, e a via original mantida nos arquivos da Caixa Escolar em boa ordem.</w:t>
      </w:r>
    </w:p>
    <w:p w:rsidR="00576A2A" w:rsidRDefault="00576A2A"/>
    <w:p w:rsidR="00CE15F7" w:rsidRPr="00CE15F7" w:rsidRDefault="00CE15F7" w:rsidP="00CE15F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Os seguintes documentos compõem o processo de </w:t>
      </w:r>
      <w:hyperlink r:id="rId16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, EXCETO:</w:t>
      </w:r>
    </w:p>
    <w:p w:rsidR="00CE15F7" w:rsidRPr="00CE15F7" w:rsidRDefault="00CE15F7" w:rsidP="00CE1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091" type="#_x0000_t75" style="width:20.25pt;height:18pt" o:ole="">
            <v:imagedata r:id="rId4" o:title=""/>
          </v:shape>
          <w:control r:id="rId17" w:name="DefaultOcxName5" w:shapeid="_x0000_i1091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a. Ofício de encaminhamento, Parecer do Colegiado Aprovando o Plano de Aplicação dos Recursos e Relação de Pagamentos Efetuados.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094" type="#_x0000_t75" style="width:20.25pt;height:18pt" o:ole="">
            <v:imagedata r:id="rId4" o:title=""/>
          </v:shape>
          <w:control r:id="rId18" w:name="DefaultOcxName11" w:shapeid="_x0000_i1094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b. Documentos fiscais originais, extratos bancários completos da movimentação financeira da conta corrente e de aplicação e Mapa de Apuração e classificação da proposta.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097" type="#_x0000_t75" style="width:20.25pt;height:18pt" o:ole="">
            <v:imagedata r:id="rId4" o:title=""/>
          </v:shape>
          <w:control r:id="rId19" w:name="DefaultOcxName21" w:shapeid="_x0000_i1097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c. Cópia do cheque ou comprovante de transferência bancária, contrato (s) firmado (s) para a execução do objeto pactuado, se for o caso e Pedido de Abertura de Adiantamento.</w:t>
      </w:r>
    </w:p>
    <w:p w:rsidR="00CE15F7" w:rsidRPr="00CE15F7" w:rsidRDefault="00CE15F7" w:rsidP="00CE15F7">
      <w:pPr>
        <w:shd w:val="clear" w:color="auto" w:fill="DFF0D8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00" type="#_x0000_t75" style="width:20.25pt;height:18pt" o:ole="">
            <v:imagedata r:id="rId9" o:title=""/>
          </v:shape>
          <w:control r:id="rId20" w:name="DefaultOcxName31" w:shapeid="_x0000_i1100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d. Documentos fiscais originais, extratos bancários completos da movimentação financeira da conta corrente e processo licitatório completo. </w:t>
      </w:r>
      <w:r w:rsidRPr="00CE15F7">
        <w:rPr>
          <w:rFonts w:ascii="Open Sans" w:eastAsia="Times New Roman" w:hAnsi="Open Sans" w:cs="Open Sans"/>
          <w:noProof/>
          <w:color w:val="333333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Cor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481961" id="Retângulo 2" o:spid="_x0000_s1026" alt="Corre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KC38z&#10;wQIAAMg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CE15F7" w:rsidRPr="00CE15F7" w:rsidRDefault="00CE15F7" w:rsidP="00CE15F7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03" type="#_x0000_t75" style="width:20.25pt;height:18pt" o:ole="">
            <v:imagedata r:id="rId4" o:title=""/>
          </v:shape>
          <w:control r:id="rId21" w:name="DefaultOcxName41" w:shapeid="_x0000_i1103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e. Parecer do Colegiado Escolar Referendando a </w:t>
      </w:r>
      <w:hyperlink r:id="rId22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, cópia do cheque ou comprovante de transferência bancária e Relação de Pagamentos Efetuados.</w:t>
      </w:r>
    </w:p>
    <w:p w:rsidR="00CE15F7" w:rsidRDefault="00CE15F7"/>
    <w:p w:rsidR="00CE15F7" w:rsidRPr="00CE15F7" w:rsidRDefault="00CE15F7" w:rsidP="00CE15F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A não apresentação do processo de </w:t>
      </w:r>
      <w:hyperlink r:id="rId23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 no prazo estipulado no Termo de Compromisso, o não atendimento às diligências ou a não aprovação do processo </w:t>
      </w:r>
      <w:r w:rsidRPr="00CE15F7">
        <w:rPr>
          <w:rFonts w:ascii="Open Sans" w:eastAsia="Times New Roman" w:hAnsi="Open Sans" w:cs="Open Sans"/>
          <w:color w:val="333333"/>
          <w:lang w:eastAsia="pt-BR"/>
        </w:rPr>
        <w:lastRenderedPageBreak/>
        <w:t>de </w:t>
      </w:r>
      <w:hyperlink r:id="rId24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 ensejarão procedimentos por parte da SEEMG. Marque a opção que não corresponde ao procedimento adotado para situação relatada.</w:t>
      </w:r>
    </w:p>
    <w:p w:rsidR="00CE15F7" w:rsidRPr="00CE15F7" w:rsidRDefault="00CE15F7" w:rsidP="00CE1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06" type="#_x0000_t75" style="width:20.25pt;height:18pt" o:ole="">
            <v:imagedata r:id="rId4" o:title=""/>
          </v:shape>
          <w:control r:id="rId25" w:name="DefaultOcxName6" w:shapeid="_x0000_i1106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a. O bloqueio da caixa escolar no Sistema Integrado de Administração Financeira - SIAFI/MG.</w:t>
      </w:r>
    </w:p>
    <w:p w:rsidR="00CE15F7" w:rsidRPr="00CE15F7" w:rsidRDefault="00CE15F7" w:rsidP="00CE15F7">
      <w:pPr>
        <w:shd w:val="clear" w:color="auto" w:fill="DFF0D8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09" type="#_x0000_t75" style="width:20.25pt;height:18pt" o:ole="">
            <v:imagedata r:id="rId9" o:title=""/>
          </v:shape>
          <w:control r:id="rId26" w:name="DefaultOcxName12" w:shapeid="_x0000_i1109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b. O repasse a caixa escolar somente de recursos para atendimento aos alunos de Alimentação Escolar e Manutenção e Custeio, evitando assim prejuízos ou interrupção do atendimento educacional. </w:t>
      </w:r>
      <w:r w:rsidRPr="00CE15F7">
        <w:rPr>
          <w:rFonts w:ascii="Open Sans" w:eastAsia="Times New Roman" w:hAnsi="Open Sans" w:cs="Open Sans"/>
          <w:noProof/>
          <w:color w:val="333333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Cor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DD3F02" id="Retângulo 3" o:spid="_x0000_s1026" alt="Corre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pEkjX&#10;wQIAAMg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12" type="#_x0000_t75" style="width:20.25pt;height:18pt" o:ole="">
            <v:imagedata r:id="rId4" o:title=""/>
          </v:shape>
          <w:control r:id="rId27" w:name="DefaultOcxName22" w:shapeid="_x0000_i1112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c. O encaminhamento do processo, no caso de comprovação de </w:t>
      </w:r>
      <w:proofErr w:type="spellStart"/>
      <w:r w:rsidRPr="00CE15F7">
        <w:rPr>
          <w:rFonts w:ascii="Open Sans" w:eastAsia="Times New Roman" w:hAnsi="Open Sans" w:cs="Open Sans"/>
          <w:color w:val="333333"/>
          <w:lang w:eastAsia="pt-BR"/>
        </w:rPr>
        <w:t>dano</w:t>
      </w:r>
      <w:proofErr w:type="spellEnd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ao erário ou qualquer irregularidade não sanada, ao Núcleo de Correição Administrativa (</w:t>
      </w:r>
      <w:proofErr w:type="spellStart"/>
      <w:r w:rsidRPr="00CE15F7">
        <w:rPr>
          <w:rFonts w:ascii="Open Sans" w:eastAsia="Times New Roman" w:hAnsi="Open Sans" w:cs="Open Sans"/>
          <w:color w:val="333333"/>
          <w:lang w:eastAsia="pt-BR"/>
        </w:rPr>
        <w:t>Nucad</w:t>
      </w:r>
      <w:proofErr w:type="spellEnd"/>
      <w:r w:rsidRPr="00CE15F7">
        <w:rPr>
          <w:rFonts w:ascii="Open Sans" w:eastAsia="Times New Roman" w:hAnsi="Open Sans" w:cs="Open Sans"/>
          <w:color w:val="333333"/>
          <w:lang w:eastAsia="pt-BR"/>
        </w:rPr>
        <w:t>).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15" type="#_x0000_t75" style="width:20.25pt;height:18pt" o:ole="">
            <v:imagedata r:id="rId4" o:title=""/>
          </v:shape>
          <w:control r:id="rId28" w:name="DefaultOcxName32" w:shapeid="_x0000_i1115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d. A promoção de tomada de contas especial, caso frustradas as demais alternativas de regularização do processo de </w:t>
      </w:r>
      <w:hyperlink r:id="rId29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.</w:t>
      </w:r>
    </w:p>
    <w:p w:rsidR="00CE15F7" w:rsidRPr="00CE15F7" w:rsidRDefault="00CE15F7" w:rsidP="00CE15F7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18" type="#_x0000_t75" style="width:20.25pt;height:18pt" o:ole="">
            <v:imagedata r:id="rId4" o:title=""/>
          </v:shape>
          <w:control r:id="rId30" w:name="DefaultOcxName42" w:shapeid="_x0000_i1118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e. Nos casos de </w:t>
      </w:r>
      <w:proofErr w:type="spellStart"/>
      <w:r w:rsidRPr="00CE15F7">
        <w:rPr>
          <w:rFonts w:ascii="Open Sans" w:eastAsia="Times New Roman" w:hAnsi="Open Sans" w:cs="Open Sans"/>
          <w:color w:val="333333"/>
          <w:lang w:eastAsia="pt-BR"/>
        </w:rPr>
        <w:t>dano</w:t>
      </w:r>
      <w:proofErr w:type="spellEnd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ao erário, o encaminhamento à Advocacia-Geral do Estado (AGE) para que, se for o caso, sejam tomadas as medidas judiciais cabíveis.</w:t>
      </w:r>
    </w:p>
    <w:p w:rsidR="00CE15F7" w:rsidRDefault="00CE15F7"/>
    <w:p w:rsidR="00CE15F7" w:rsidRPr="00CE15F7" w:rsidRDefault="00CE15F7" w:rsidP="00CE15F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Um Presidente de caixa escolar, ao assumir, verifica que a mesma se encontra inadimplente junto a SEEMG com um Termo de Compromisso da Alimentação Escolar. Nos arquivos da escola encontra-se os documentos, faltando somente os extratos de aplicação financeira. Neste caso, ele deverá:</w:t>
      </w:r>
    </w:p>
    <w:p w:rsidR="00CE15F7" w:rsidRPr="00CE15F7" w:rsidRDefault="00CE15F7" w:rsidP="00CE1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21" type="#_x0000_t75" style="width:20.25pt;height:18pt" o:ole="">
            <v:imagedata r:id="rId4" o:title=""/>
          </v:shape>
          <w:control r:id="rId31" w:name="DefaultOcxName7" w:shapeid="_x0000_i1121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a. Convocar o Colegiado Escolar para relatar a situação enviando a ata a Superintendência Regional de Ensino - SRE para que a mesma fique ciente, ficando o atual presidente isento de responsabilidade sobre o fato.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24" type="#_x0000_t75" style="width:20.25pt;height:18pt" o:ole="">
            <v:imagedata r:id="rId4" o:title=""/>
          </v:shape>
          <w:control r:id="rId32" w:name="DefaultOcxName13" w:shapeid="_x0000_i1124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b. Solicitar ao </w:t>
      </w:r>
      <w:proofErr w:type="spellStart"/>
      <w:r w:rsidRPr="00CE15F7">
        <w:rPr>
          <w:rFonts w:ascii="Open Sans" w:eastAsia="Times New Roman" w:hAnsi="Open Sans" w:cs="Open Sans"/>
          <w:color w:val="333333"/>
          <w:lang w:eastAsia="pt-BR"/>
        </w:rPr>
        <w:t>ex</w:t>
      </w:r>
      <w:proofErr w:type="spellEnd"/>
      <w:r w:rsidRPr="00CE15F7">
        <w:rPr>
          <w:rFonts w:ascii="Open Sans" w:eastAsia="Times New Roman" w:hAnsi="Open Sans" w:cs="Open Sans"/>
          <w:color w:val="333333"/>
          <w:lang w:eastAsia="pt-BR"/>
        </w:rPr>
        <w:t>- gestor a regularização da inadimplência e o encaminhamento do processo a Superintendência Regional de Ensino – SRE.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27" type="#_x0000_t75" style="width:20.25pt;height:18pt" o:ole="">
            <v:imagedata r:id="rId4" o:title=""/>
          </v:shape>
          <w:control r:id="rId33" w:name="DefaultOcxName23" w:shapeid="_x0000_i1127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c. Solicitar os extratos ao banco da conta corrente, enviando o processo de prestação de conta a Superintendência Regional de Ensino – SRE para regularização da inadimplência.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30" type="#_x0000_t75" style="width:20.25pt;height:18pt" o:ole="">
            <v:imagedata r:id="rId4" o:title=""/>
          </v:shape>
          <w:control r:id="rId34" w:name="DefaultOcxName33" w:shapeid="_x0000_i1130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d. Encaminhar o processo da forma encontrada, tendo em vista que o responsável pela execução e </w:t>
      </w:r>
      <w:hyperlink r:id="rId35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 seria o </w:t>
      </w:r>
      <w:proofErr w:type="spellStart"/>
      <w:r w:rsidRPr="00CE15F7">
        <w:rPr>
          <w:rFonts w:ascii="Open Sans" w:eastAsia="Times New Roman" w:hAnsi="Open Sans" w:cs="Open Sans"/>
          <w:color w:val="333333"/>
          <w:lang w:eastAsia="pt-BR"/>
        </w:rPr>
        <w:t>ex</w:t>
      </w:r>
      <w:proofErr w:type="spellEnd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gestor.</w:t>
      </w:r>
    </w:p>
    <w:p w:rsidR="00CE15F7" w:rsidRPr="00CE15F7" w:rsidRDefault="00CE15F7" w:rsidP="00CE15F7">
      <w:pPr>
        <w:shd w:val="clear" w:color="auto" w:fill="DFF0D8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33" type="#_x0000_t75" style="width:20.25pt;height:18pt" o:ole="">
            <v:imagedata r:id="rId9" o:title=""/>
          </v:shape>
          <w:control r:id="rId36" w:name="DefaultOcxName43" w:shapeid="_x0000_i1133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e. Solicitar os extratos ao banco da conta de aplicação financeira, montando o processo em conformidade com a legislação, enviando o mesmo a Superintendência Regional de Ensino – SRE para regularização da inadimplência. </w:t>
      </w:r>
      <w:r w:rsidRPr="00CE15F7">
        <w:rPr>
          <w:rFonts w:ascii="Open Sans" w:eastAsia="Times New Roman" w:hAnsi="Open Sans" w:cs="Open Sans"/>
          <w:noProof/>
          <w:color w:val="333333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Cor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913333" id="Retângulo 4" o:spid="_x0000_s1026" alt="Corre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DVl4G&#10;wQIAAMg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CE15F7" w:rsidRDefault="00CE15F7"/>
    <w:p w:rsidR="00CE15F7" w:rsidRPr="00CE15F7" w:rsidRDefault="00CE15F7" w:rsidP="00CE15F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Marque a alternativa que relata quando a caixa escolar deve fazer a </w:t>
      </w:r>
      <w:hyperlink r:id="rId37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 do PDDE e suas ações agregadas:</w:t>
      </w:r>
    </w:p>
    <w:p w:rsidR="00CE15F7" w:rsidRPr="00CE15F7" w:rsidRDefault="00CE15F7" w:rsidP="00CE1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36" type="#_x0000_t75" style="width:20.25pt;height:18pt" o:ole="">
            <v:imagedata r:id="rId4" o:title=""/>
          </v:shape>
          <w:control r:id="rId38" w:name="DefaultOcxName8" w:shapeid="_x0000_i1136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a. Não tiverem recebido recursos do PDDE ou de qualquer uma de suas ações no ano corrente, apresentando os extratos bancários zerados.</w:t>
      </w:r>
    </w:p>
    <w:p w:rsidR="00CE15F7" w:rsidRPr="00CE15F7" w:rsidRDefault="00CE15F7" w:rsidP="00CE15F7">
      <w:pPr>
        <w:shd w:val="clear" w:color="auto" w:fill="DFF0D8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lastRenderedPageBreak/>
        <w:object w:dxaOrig="225" w:dyaOrig="225">
          <v:shape id="_x0000_i1139" type="#_x0000_t75" style="width:20.25pt;height:18pt" o:ole="">
            <v:imagedata r:id="rId9" o:title=""/>
          </v:shape>
          <w:control r:id="rId39" w:name="DefaultOcxName14" w:shapeid="_x0000_i1139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b. Tiverem saldos de recursos reprogramados de anos anteriores, ainda que não tenham recebido novos repasses. </w:t>
      </w:r>
      <w:r w:rsidRPr="00CE15F7">
        <w:rPr>
          <w:rFonts w:ascii="Open Sans" w:eastAsia="Times New Roman" w:hAnsi="Open Sans" w:cs="Open Sans"/>
          <w:noProof/>
          <w:color w:val="333333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Cor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BC2788" id="Retângulo 5" o:spid="_x0000_s1026" alt="Corre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gT2ni&#10;wQIAAMg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42" type="#_x0000_t75" style="width:20.25pt;height:18pt" o:ole="">
            <v:imagedata r:id="rId4" o:title=""/>
          </v:shape>
          <w:control r:id="rId40" w:name="DefaultOcxName24" w:shapeid="_x0000_i1142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c. Somente se tiverem recebido recursos no ano corrente, e estes não foram utilizados.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45" type="#_x0000_t75" style="width:20.25pt;height:18pt" o:ole="">
            <v:imagedata r:id="rId4" o:title=""/>
          </v:shape>
          <w:control r:id="rId41" w:name="DefaultOcxName34" w:shapeid="_x0000_i1145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d. Tiverem saldos de recursos reprogramados de anos anteriores, caso tenham recebido novos repasses.</w:t>
      </w:r>
    </w:p>
    <w:p w:rsidR="00CE15F7" w:rsidRPr="00CE15F7" w:rsidRDefault="00CE15F7" w:rsidP="00CE15F7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48" type="#_x0000_t75" style="width:20.25pt;height:18pt" o:ole="">
            <v:imagedata r:id="rId4" o:title=""/>
          </v:shape>
          <w:control r:id="rId42" w:name="DefaultOcxName44" w:shapeid="_x0000_i1148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e. Tiverem recebido recursos do PDDE ou de qualquer uma de suas ações no ano corrente, não sendo necessário, neste caso, a informação de saldo.</w:t>
      </w:r>
    </w:p>
    <w:p w:rsidR="00CE15F7" w:rsidRDefault="00CE15F7"/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Quando não utilizados os recursos do PDDE e suas ações agregados, a caixa escolar deverá, mesmo assim, providenciar a </w:t>
      </w:r>
      <w:hyperlink r:id="rId43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. Neste caso, o processo deverá ser instruído com a seguinte documentação:</w:t>
      </w:r>
    </w:p>
    <w:p w:rsidR="00CE15F7" w:rsidRPr="00CE15F7" w:rsidRDefault="00CE15F7" w:rsidP="00CE15F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CE15F7" w:rsidRPr="00CE15F7" w:rsidRDefault="00CE15F7" w:rsidP="00CE1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51" type="#_x0000_t75" style="width:20.25pt;height:18pt" o:ole="">
            <v:imagedata r:id="rId4" o:title=""/>
          </v:shape>
          <w:control r:id="rId44" w:name="DefaultOcxName9" w:shapeid="_x0000_i1151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a. Informar que os recursos disponíveis não foram utilizados e que serão reprogramados para uso no ano seguinte, com ofício de encaminhamento, ata do Colegiado Escolar e extratos bancários demonstrando a não utilização dos recursos.</w:t>
      </w:r>
    </w:p>
    <w:p w:rsidR="00CE15F7" w:rsidRPr="00CE15F7" w:rsidRDefault="00CE15F7" w:rsidP="00CE15F7">
      <w:pPr>
        <w:shd w:val="clear" w:color="auto" w:fill="DFF0D8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54" type="#_x0000_t75" style="width:20.25pt;height:18pt" o:ole="">
            <v:imagedata r:id="rId9" o:title=""/>
          </v:shape>
          <w:control r:id="rId45" w:name="DefaultOcxName15" w:shapeid="_x0000_i1154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b. Informar que os recursos disponíveis não foram utilizados e que serão reprogramados para uso no ano seguinte, com ofício de encaminhamento, ata do Colegiado Escolar, Demonstrativo da Execução da Receita e da Despesa e de Pagamentos Efetuados e extratos bancários demonstrando a não utilização dos recursos. </w:t>
      </w:r>
      <w:r w:rsidRPr="00CE15F7">
        <w:rPr>
          <w:rFonts w:ascii="Open Sans" w:eastAsia="Times New Roman" w:hAnsi="Open Sans" w:cs="Open Sans"/>
          <w:noProof/>
          <w:color w:val="333333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tângulo 6" descr="Cor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6164B9" id="Retângulo 6" o:spid="_x0000_s1026" alt="Corre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EYkEV&#10;wQIAAMg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57" type="#_x0000_t75" style="width:20.25pt;height:18pt" o:ole="">
            <v:imagedata r:id="rId4" o:title=""/>
          </v:shape>
          <w:control r:id="rId46" w:name="DefaultOcxName25" w:shapeid="_x0000_i1157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c. Informar que os recursos serão reprogramados para uso no ano seguinte, com ofício de encaminhamento, ata do Colegiado Escolar, Demonstrativo da Execução da Receita e da Despesa e de Pagamentos Efetuados, além do Relatório de Execução Física e Financeira do Projeto, assinado pelo Presidente da Caixa Escolar, pelo Tesoureiro e ratificado pelo ordenador de despesas da SRE.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60" type="#_x0000_t75" style="width:20.25pt;height:18pt" o:ole="">
            <v:imagedata r:id="rId4" o:title=""/>
          </v:shape>
          <w:control r:id="rId47" w:name="DefaultOcxName35" w:shapeid="_x0000_i1160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d. Informar que os recursos serão reprogramados para uso no ano seguinte, com ofício de encaminhamento, ata do Colegiado Escolar, Demonstrativo da Execução da Receita e da Despesa e de Pagamentos Efetuados e a Conciliação Bancária.</w:t>
      </w:r>
    </w:p>
    <w:p w:rsidR="00CE15F7" w:rsidRPr="00CE15F7" w:rsidRDefault="00CE15F7" w:rsidP="00CE15F7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63" type="#_x0000_t75" style="width:20.25pt;height:18pt" o:ole="">
            <v:imagedata r:id="rId4" o:title=""/>
          </v:shape>
          <w:control r:id="rId48" w:name="DefaultOcxName45" w:shapeid="_x0000_i1163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e. Informar que os recursos disponíveis não foram utilizados e que serão reprogramados para uso no ano seguinte, com ofício de encaminhamento, Demonstrativo da Execução da Receita e da Despesa e de Pagamentos Efetuados e extratos bancários demonstrando a não utilização dos recursos.</w:t>
      </w:r>
    </w:p>
    <w:p w:rsidR="00CE15F7" w:rsidRDefault="00CE15F7"/>
    <w:p w:rsidR="00CE15F7" w:rsidRPr="00CE15F7" w:rsidRDefault="00CE15F7" w:rsidP="00CE15F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Marque a alternativa com o procedimento que permite o desbloqueio da Caixa Escolar no SIAFI-MG:</w:t>
      </w:r>
    </w:p>
    <w:p w:rsidR="00CE15F7" w:rsidRPr="00CE15F7" w:rsidRDefault="00CE15F7" w:rsidP="00CE1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CE15F7" w:rsidRPr="00CE15F7" w:rsidRDefault="00CE15F7" w:rsidP="00CE15F7">
      <w:pPr>
        <w:shd w:val="clear" w:color="auto" w:fill="DFF0D8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66" type="#_x0000_t75" style="width:20.25pt;height:18pt" o:ole="">
            <v:imagedata r:id="rId9" o:title=""/>
          </v:shape>
          <w:control r:id="rId49" w:name="DefaultOcxName10" w:shapeid="_x0000_i1166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a. Na abertura do correspondente procedimento administrativo, quando as pendências existentes não regularizadas foram acarretadas pela má gestão ou improbidade do gestor que não seja mais o presidente da Caixa Escolar. </w:t>
      </w:r>
      <w:r w:rsidRPr="00CE15F7">
        <w:rPr>
          <w:rFonts w:ascii="Open Sans" w:eastAsia="Times New Roman" w:hAnsi="Open Sans" w:cs="Open Sans"/>
          <w:noProof/>
          <w:color w:val="333333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tângulo 7" descr="Cor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56B77B" id="Retângulo 7" o:spid="_x0000_s1026" alt="Corre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ne3bx&#10;wQIAAMg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69" type="#_x0000_t75" style="width:20.25pt;height:18pt" o:ole="">
            <v:imagedata r:id="rId4" o:title=""/>
          </v:shape>
          <w:control r:id="rId50" w:name="DefaultOcxName16" w:shapeid="_x0000_i1169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b. Na exoneração do diretor responsável a época pela execução dos recursos, quando as pendências existentes não regularizadas foram acarretadas pela má gestão ou improbidade, possibilitando desta forma a continuidade do atendimento aos alunos pela nova gestão.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72" type="#_x0000_t75" style="width:20.25pt;height:18pt" o:ole="">
            <v:imagedata r:id="rId4" o:title=""/>
          </v:shape>
          <w:control r:id="rId51" w:name="DefaultOcxName26" w:shapeid="_x0000_i1172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c. Independente da adoção de procedimentos administrativos, para repasse de recursos de alimentação escolar, tendo em vista que a alimentação é um direito fundamental do ser humano reconhecido internacionalmente pela Declaração Universal dos Direitos Humanos (art. 25) e pelo Pacto Internacional de Direitos Econômicos, Sociais e Culturais – PIDESC (art. 11).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75" type="#_x0000_t75" style="width:20.25pt;height:18pt" o:ole="">
            <v:imagedata r:id="rId4" o:title=""/>
          </v:shape>
          <w:control r:id="rId52" w:name="DefaultOcxName36" w:shapeid="_x0000_i1175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d. Na apresentação da documentação prevista no artigo 2º da Resolução SEEMG nº 3670/2017, que torna a caixa escolar apta junto a SEEMG.</w:t>
      </w:r>
    </w:p>
    <w:p w:rsidR="00CE15F7" w:rsidRPr="00CE15F7" w:rsidRDefault="00CE15F7" w:rsidP="00CE15F7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78" type="#_x0000_t75" style="width:20.25pt;height:18pt" o:ole="">
            <v:imagedata r:id="rId4" o:title=""/>
          </v:shape>
          <w:control r:id="rId53" w:name="DefaultOcxName46" w:shapeid="_x0000_i1178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e. No estabelecimento de mecanismos alternativos de atendimento aos educandos vinculados à escola cuja Caixa Escolar esteja impedida de receber novos recursos, evitando assim prejuízos ou interrupção do atendimento educacional.</w:t>
      </w:r>
    </w:p>
    <w:p w:rsidR="00CE15F7" w:rsidRDefault="00CE15F7"/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Quanto a </w:t>
      </w:r>
      <w:hyperlink r:id="rId54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 do PDDE e suas ações agregadas, relacione as duas colunas, completando a primeira com as informações contidas na </w:t>
      </w:r>
      <w:proofErr w:type="gramStart"/>
      <w:r w:rsidRPr="00CE15F7">
        <w:rPr>
          <w:rFonts w:ascii="Open Sans" w:eastAsia="Times New Roman" w:hAnsi="Open Sans" w:cs="Open Sans"/>
          <w:color w:val="333333"/>
          <w:lang w:eastAsia="pt-BR"/>
        </w:rPr>
        <w:t>segunda :</w:t>
      </w:r>
      <w:proofErr w:type="gramEnd"/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(1) Forma de encaminhamento                           </w:t>
      </w:r>
      <w:proofErr w:type="gramStart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  (</w:t>
      </w:r>
      <w:proofErr w:type="gramEnd"/>
      <w:r w:rsidRPr="00CE15F7">
        <w:rPr>
          <w:rFonts w:ascii="Open Sans" w:eastAsia="Times New Roman" w:hAnsi="Open Sans" w:cs="Open Sans"/>
          <w:color w:val="333333"/>
          <w:lang w:eastAsia="pt-BR"/>
        </w:rPr>
        <w:t>  ) até último dia útil do mês de janeiro do ano subsequente ao recebimento dos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                                                                                    </w:t>
      </w:r>
      <w:proofErr w:type="gramStart"/>
      <w:r w:rsidRPr="00CE15F7">
        <w:rPr>
          <w:rFonts w:ascii="Open Sans" w:eastAsia="Times New Roman" w:hAnsi="Open Sans" w:cs="Open Sans"/>
          <w:color w:val="333333"/>
          <w:lang w:eastAsia="pt-BR"/>
        </w:rPr>
        <w:t>recursos</w:t>
      </w:r>
      <w:proofErr w:type="gramEnd"/>
      <w:r w:rsidRPr="00CE15F7">
        <w:rPr>
          <w:rFonts w:ascii="Open Sans" w:eastAsia="Times New Roman" w:hAnsi="Open Sans" w:cs="Open Sans"/>
          <w:color w:val="333333"/>
          <w:lang w:eastAsia="pt-BR"/>
        </w:rPr>
        <w:t>.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(2) Prazo de encaminhamento a SRE                 </w:t>
      </w:r>
      <w:proofErr w:type="gramStart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  (</w:t>
      </w:r>
      <w:proofErr w:type="gramEnd"/>
      <w:r w:rsidRPr="00CE15F7">
        <w:rPr>
          <w:rFonts w:ascii="Open Sans" w:eastAsia="Times New Roman" w:hAnsi="Open Sans" w:cs="Open Sans"/>
          <w:color w:val="333333"/>
          <w:lang w:eastAsia="pt-BR"/>
        </w:rPr>
        <w:t>  ) fisicamente, acompanhada dos formulários e de toda documentação comprobatória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                                                                                    </w:t>
      </w:r>
      <w:proofErr w:type="gramStart"/>
      <w:r w:rsidRPr="00CE15F7">
        <w:rPr>
          <w:rFonts w:ascii="Open Sans" w:eastAsia="Times New Roman" w:hAnsi="Open Sans" w:cs="Open Sans"/>
          <w:color w:val="333333"/>
          <w:lang w:eastAsia="pt-BR"/>
        </w:rPr>
        <w:t>da</w:t>
      </w:r>
      <w:proofErr w:type="gramEnd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destinação dada aos recursos.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(3) Será encaminhada a SRE                               </w:t>
      </w:r>
      <w:proofErr w:type="gramStart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  (</w:t>
      </w:r>
      <w:proofErr w:type="gramEnd"/>
      <w:r w:rsidRPr="00CE15F7">
        <w:rPr>
          <w:rFonts w:ascii="Open Sans" w:eastAsia="Times New Roman" w:hAnsi="Open Sans" w:cs="Open Sans"/>
          <w:color w:val="333333"/>
          <w:lang w:eastAsia="pt-BR"/>
        </w:rPr>
        <w:t>  ) analisar e julgar as contas apresentadas pelas caixas escolares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(4) As informações das prestações de contas  </w:t>
      </w:r>
      <w:proofErr w:type="gramStart"/>
      <w:r w:rsidRPr="00CE15F7">
        <w:rPr>
          <w:rFonts w:ascii="Open Sans" w:eastAsia="Times New Roman" w:hAnsi="Open Sans" w:cs="Open Sans"/>
          <w:color w:val="333333"/>
          <w:lang w:eastAsia="pt-BR"/>
        </w:rPr>
        <w:t>   (</w:t>
      </w:r>
      <w:proofErr w:type="gramEnd"/>
      <w:r w:rsidRPr="00CE15F7">
        <w:rPr>
          <w:rFonts w:ascii="Open Sans" w:eastAsia="Times New Roman" w:hAnsi="Open Sans" w:cs="Open Sans"/>
          <w:color w:val="333333"/>
          <w:lang w:eastAsia="pt-BR"/>
        </w:rPr>
        <w:t>  ) cópia idêntica a original, devidamente autenticada com </w:t>
      </w:r>
      <w:r w:rsidRPr="00CE15F7">
        <w:rPr>
          <w:rFonts w:ascii="Open Sans" w:eastAsia="Times New Roman" w:hAnsi="Open Sans" w:cs="Open Sans"/>
          <w:i/>
          <w:iCs/>
          <w:color w:val="333333"/>
          <w:lang w:eastAsia="pt-BR"/>
        </w:rPr>
        <w:t>confere com original</w:t>
      </w:r>
      <w:r w:rsidRPr="00CE15F7">
        <w:rPr>
          <w:rFonts w:ascii="Open Sans" w:eastAsia="Times New Roman" w:hAnsi="Open Sans" w:cs="Open Sans"/>
          <w:color w:val="333333"/>
          <w:lang w:eastAsia="pt-BR"/>
        </w:rPr>
        <w:t>.   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CE15F7">
        <w:rPr>
          <w:rFonts w:ascii="Open Sans" w:eastAsia="Times New Roman" w:hAnsi="Open Sans" w:cs="Open Sans"/>
          <w:color w:val="333333"/>
          <w:lang w:eastAsia="pt-BR"/>
        </w:rPr>
        <w:t>serão</w:t>
      </w:r>
      <w:proofErr w:type="gramEnd"/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 encaminhadas, via SIGPC,     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 xml:space="preserve">(5) Após recebimento da prestação                    </w:t>
      </w:r>
      <w:proofErr w:type="gramStart"/>
      <w:r w:rsidRPr="00CE15F7">
        <w:rPr>
          <w:rFonts w:ascii="Open Sans" w:eastAsia="Times New Roman" w:hAnsi="Open Sans" w:cs="Open Sans"/>
          <w:color w:val="333333"/>
          <w:lang w:eastAsia="pt-BR"/>
        </w:rPr>
        <w:t>   (</w:t>
      </w:r>
      <w:proofErr w:type="gramEnd"/>
      <w:r w:rsidRPr="00CE15F7">
        <w:rPr>
          <w:rFonts w:ascii="Open Sans" w:eastAsia="Times New Roman" w:hAnsi="Open Sans" w:cs="Open Sans"/>
          <w:color w:val="333333"/>
          <w:lang w:eastAsia="pt-BR"/>
        </w:rPr>
        <w:t>  )  até 30 de abril do ano subsequente ao do recebimento dos recursos ao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CE15F7">
        <w:rPr>
          <w:rFonts w:ascii="Open Sans" w:eastAsia="Times New Roman" w:hAnsi="Open Sans" w:cs="Open Sans"/>
          <w:color w:val="333333"/>
          <w:lang w:eastAsia="pt-BR"/>
        </w:rPr>
        <w:t>de</w:t>
      </w:r>
      <w:proofErr w:type="gramEnd"/>
      <w:r w:rsidRPr="00CE15F7">
        <w:rPr>
          <w:rFonts w:ascii="Open Sans" w:eastAsia="Times New Roman" w:hAnsi="Open Sans" w:cs="Open Sans"/>
          <w:color w:val="333333"/>
          <w:lang w:eastAsia="pt-BR"/>
        </w:rPr>
        <w:t> contas das caixas escolares, a SRE deverá             FNDE .          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         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CE15F7" w:rsidRPr="00CE15F7" w:rsidRDefault="00CE15F7" w:rsidP="00CE15F7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 A alternativa correta é:</w:t>
      </w:r>
    </w:p>
    <w:p w:rsidR="00CE15F7" w:rsidRPr="00CE15F7" w:rsidRDefault="00CE15F7" w:rsidP="00CE15F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CE15F7" w:rsidRPr="00CE15F7" w:rsidRDefault="00CE15F7" w:rsidP="00CE1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81" type="#_x0000_t75" style="width:20.25pt;height:18pt" o:ole="">
            <v:imagedata r:id="rId4" o:title=""/>
          </v:shape>
          <w:control r:id="rId55" w:name="DefaultOcxName18" w:shapeid="_x0000_i1181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a. 4, 1, 5, 2 e 3.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84" type="#_x0000_t75" style="width:20.25pt;height:18pt" o:ole="">
            <v:imagedata r:id="rId4" o:title=""/>
          </v:shape>
          <w:control r:id="rId56" w:name="DefaultOcxName17" w:shapeid="_x0000_i1184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b. 5, 4, 3, 1 e 2.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87" type="#_x0000_t75" style="width:20.25pt;height:18pt" o:ole="">
            <v:imagedata r:id="rId4" o:title=""/>
          </v:shape>
          <w:control r:id="rId57" w:name="DefaultOcxName27" w:shapeid="_x0000_i1187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c. 4, 5, 2, 3, e 1.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90" type="#_x0000_t75" style="width:20.25pt;height:18pt" o:ole="">
            <v:imagedata r:id="rId4" o:title=""/>
          </v:shape>
          <w:control r:id="rId58" w:name="DefaultOcxName37" w:shapeid="_x0000_i1190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d. 4, 1, 5, 3 e 2.</w:t>
      </w:r>
    </w:p>
    <w:p w:rsidR="00CE15F7" w:rsidRPr="00CE15F7" w:rsidRDefault="00CE15F7" w:rsidP="00CE15F7">
      <w:pPr>
        <w:shd w:val="clear" w:color="auto" w:fill="DFF0D8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93" type="#_x0000_t75" style="width:20.25pt;height:18pt" o:ole="">
            <v:imagedata r:id="rId9" o:title=""/>
          </v:shape>
          <w:control r:id="rId59" w:name="DefaultOcxName47" w:shapeid="_x0000_i1193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e. 2, 1, 5, 3 e 4. </w:t>
      </w:r>
      <w:r w:rsidRPr="00CE15F7">
        <w:rPr>
          <w:rFonts w:ascii="Open Sans" w:eastAsia="Times New Roman" w:hAnsi="Open Sans" w:cs="Open Sans"/>
          <w:noProof/>
          <w:color w:val="333333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tângulo 8" descr="Cor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9B61C9" id="Retângulo 8" o:spid="_x0000_s1026" alt="Corre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HtHGzA&#10;AgAAy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CE15F7" w:rsidRDefault="00CE15F7"/>
    <w:p w:rsidR="00CE15F7" w:rsidRPr="00CE15F7" w:rsidRDefault="00CE15F7" w:rsidP="00CE15F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Qual o prazo para guarda dos comprovantes das despesas realizadas com recursos do PDDE e de suas Ações Agregadas pelas caixas escolares, conforme Resolução CD/FNDE 8/2016?</w:t>
      </w:r>
    </w:p>
    <w:p w:rsidR="00CE15F7" w:rsidRPr="00CE15F7" w:rsidRDefault="00CE15F7" w:rsidP="00CE1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96" type="#_x0000_t75" style="width:20.25pt;height:18pt" o:ole="">
            <v:imagedata r:id="rId4" o:title=""/>
          </v:shape>
          <w:control r:id="rId60" w:name="DefaultOcxName20" w:shapeid="_x0000_i1196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a. O prazo para guarda de documentos é de 10 (dez) anos e começa a contar da data de aprovação do processo de </w:t>
      </w:r>
      <w:hyperlink r:id="rId61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 pela Superintendência Regional de Ensino – SRE.</w:t>
      </w:r>
    </w:p>
    <w:p w:rsidR="00CE15F7" w:rsidRPr="00CE15F7" w:rsidRDefault="00CE15F7" w:rsidP="00CE15F7">
      <w:pPr>
        <w:shd w:val="clear" w:color="auto" w:fill="DFF0D8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199" type="#_x0000_t75" style="width:20.25pt;height:18pt" o:ole="">
            <v:imagedata r:id="rId9" o:title=""/>
          </v:shape>
          <w:control r:id="rId62" w:name="DefaultOcxName19" w:shapeid="_x0000_i1199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b. O prazo para guarda de documentos é de 10 (dez) anos e começa a contar da data do julgamento das contas do FNDE pelo Tribunal de Contas da União (TCU). </w:t>
      </w:r>
      <w:r w:rsidRPr="00CE15F7">
        <w:rPr>
          <w:rFonts w:ascii="Open Sans" w:eastAsia="Times New Roman" w:hAnsi="Open Sans" w:cs="Open Sans"/>
          <w:noProof/>
          <w:color w:val="333333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tângulo 9" descr="Cor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69CF30" id="Retângulo 9" o:spid="_x0000_s1026" alt="Corre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L0K4jA&#10;AgAAy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202" type="#_x0000_t75" style="width:20.25pt;height:18pt" o:ole="">
            <v:imagedata r:id="rId4" o:title=""/>
          </v:shape>
          <w:control r:id="rId63" w:name="DefaultOcxName28" w:shapeid="_x0000_i1202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c. O prazo para guarda de documentos é de 20 (vinte) anos e começa a contar da data do julgamento das contas do FNDE pelo Tribunal de Contas da União (TCU).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205" type="#_x0000_t75" style="width:20.25pt;height:18pt" o:ole="">
            <v:imagedata r:id="rId4" o:title=""/>
          </v:shape>
          <w:control r:id="rId64" w:name="DefaultOcxName38" w:shapeid="_x0000_i1205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d. O prazo para guarda de documentos é de 20 (vinte) anos e começa a contar da data de aprovação do processo de </w:t>
      </w:r>
      <w:hyperlink r:id="rId65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 pela Superintendência Regional de Ensino – SRE.</w:t>
      </w:r>
    </w:p>
    <w:p w:rsidR="00CE15F7" w:rsidRPr="00CE15F7" w:rsidRDefault="00CE15F7" w:rsidP="00CE15F7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208" type="#_x0000_t75" style="width:20.25pt;height:18pt" o:ole="">
            <v:imagedata r:id="rId4" o:title=""/>
          </v:shape>
          <w:control r:id="rId66" w:name="DefaultOcxName48" w:shapeid="_x0000_i1208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e. O prazo para guarda de documentos é até a data do julgamento das contas do FNDE pelo Tribunal de Contas da União (TCU).</w:t>
      </w:r>
    </w:p>
    <w:p w:rsidR="00CE15F7" w:rsidRDefault="00CE15F7"/>
    <w:p w:rsidR="00CE15F7" w:rsidRPr="00CE15F7" w:rsidRDefault="00CE15F7" w:rsidP="00CE15F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Marque a alternativa correta quanto a </w:t>
      </w:r>
      <w:hyperlink r:id="rId67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 dos Recursos Diretamente Arrecadados:</w:t>
      </w:r>
    </w:p>
    <w:p w:rsidR="00CE15F7" w:rsidRPr="00CE15F7" w:rsidRDefault="00CE15F7" w:rsidP="00CE1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211" type="#_x0000_t75" style="width:20.25pt;height:18pt" o:ole="">
            <v:imagedata r:id="rId4" o:title=""/>
          </v:shape>
          <w:control r:id="rId68" w:name="DefaultOcxName30" w:shapeid="_x0000_i1211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a. A </w:t>
      </w:r>
      <w:hyperlink r:id="rId69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 dos recursos diretamente arrecadados deverá ser elaborada em duas vias de igual teor e forma, devendo a cópia ser apresentado à SRE ao final do ano e a via original mantida no arquivo da escola após aprovação pelo Conselho Fiscal, devendo a Caixa Escolar disponibilizá-la, quando solicitada aos demais órgãos de controle interno e externo.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214" type="#_x0000_t75" style="width:20.25pt;height:18pt" o:ole="">
            <v:imagedata r:id="rId4" o:title=""/>
          </v:shape>
          <w:control r:id="rId70" w:name="DefaultOcxName110" w:shapeid="_x0000_i1214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b. A </w:t>
      </w:r>
      <w:hyperlink r:id="rId71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 dos recursos diretamente arrecadados deverá ser elaborada em única via a ser mantida no arquivo da escola após aprovação pelo Colegiado Escolar, devendo a Caixa Escolar disponibilizá-la, quando solicitada pela SEE/MG ou demais órgãos de controle interno e externo.</w:t>
      </w:r>
    </w:p>
    <w:p w:rsidR="00CE15F7" w:rsidRPr="00CE15F7" w:rsidRDefault="00CE15F7" w:rsidP="00CE15F7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217" type="#_x0000_t75" style="width:20.25pt;height:18pt" o:ole="">
            <v:imagedata r:id="rId4" o:title=""/>
          </v:shape>
          <w:control r:id="rId72" w:name="DefaultOcxName29" w:shapeid="_x0000_i1217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c. A </w:t>
      </w:r>
      <w:hyperlink r:id="rId73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 dos recursos diretamente arrecadados deverá ser elaborada em duas vias de igual teor e forma, devendo a cópia ser apresentado à SRE ao final do ano e a via original mantida no arquivo da escola após aprovação pelo Colegiado Escolar, devendo a Caixa Escolar disponibilizá-la, quando solicitada aos demais órgãos de controle interno e externo.</w:t>
      </w:r>
    </w:p>
    <w:p w:rsidR="00CE15F7" w:rsidRPr="00CE15F7" w:rsidRDefault="00CE15F7" w:rsidP="00CE15F7">
      <w:pPr>
        <w:shd w:val="clear" w:color="auto" w:fill="DFF0D8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220" type="#_x0000_t75" style="width:20.25pt;height:18pt" o:ole="">
            <v:imagedata r:id="rId9" o:title=""/>
          </v:shape>
          <w:control r:id="rId74" w:name="DefaultOcxName39" w:shapeid="_x0000_i1220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d. A </w:t>
      </w:r>
      <w:hyperlink r:id="rId75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 dos recursos diretamente arrecadados deverá ser elaborada em única via a ser mantida no arquivo da escola após aprovação pelo Conselho Fiscal, devendo a Caixa Escolar disponibilizá-la, quando solicitada pela SEE/MG ou demais órgãos de controle interno e externo. </w:t>
      </w:r>
      <w:r w:rsidRPr="00CE15F7">
        <w:rPr>
          <w:rFonts w:ascii="Open Sans" w:eastAsia="Times New Roman" w:hAnsi="Open Sans" w:cs="Open Sans"/>
          <w:noProof/>
          <w:color w:val="333333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tângulo 10" descr="Cor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C525AF" id="Retângulo 10" o:spid="_x0000_s1026" alt="Corre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9iV&#10;jsICAADK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CE15F7" w:rsidRPr="00CE15F7" w:rsidRDefault="00CE15F7" w:rsidP="00CE15F7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CE15F7">
        <w:rPr>
          <w:rFonts w:ascii="Open Sans" w:eastAsia="Times New Roman" w:hAnsi="Open Sans" w:cs="Open Sans"/>
          <w:color w:val="333333"/>
        </w:rPr>
        <w:object w:dxaOrig="225" w:dyaOrig="225">
          <v:shape id="_x0000_i1223" type="#_x0000_t75" style="width:20.25pt;height:18pt" o:ole="">
            <v:imagedata r:id="rId4" o:title=""/>
          </v:shape>
          <w:control r:id="rId76" w:name="DefaultOcxName49" w:shapeid="_x0000_i1223"/>
        </w:object>
      </w:r>
      <w:r w:rsidRPr="00CE15F7">
        <w:rPr>
          <w:rFonts w:ascii="Open Sans" w:eastAsia="Times New Roman" w:hAnsi="Open Sans" w:cs="Open Sans"/>
          <w:color w:val="333333"/>
          <w:lang w:eastAsia="pt-BR"/>
        </w:rPr>
        <w:t>e. A </w:t>
      </w:r>
      <w:hyperlink r:id="rId77" w:tooltip="Prestação de Contas" w:history="1">
        <w:r w:rsidRPr="00CE15F7">
          <w:rPr>
            <w:rFonts w:ascii="Open Sans" w:eastAsia="Times New Roman" w:hAnsi="Open Sans" w:cs="Open Sans"/>
            <w:color w:val="0C4357"/>
            <w:u w:val="single"/>
            <w:lang w:eastAsia="pt-BR"/>
          </w:rPr>
          <w:t>prestação de contas</w:t>
        </w:r>
      </w:hyperlink>
      <w:r w:rsidRPr="00CE15F7">
        <w:rPr>
          <w:rFonts w:ascii="Open Sans" w:eastAsia="Times New Roman" w:hAnsi="Open Sans" w:cs="Open Sans"/>
          <w:color w:val="333333"/>
          <w:lang w:eastAsia="pt-BR"/>
        </w:rPr>
        <w:t> dos recursos diretamente arrecadados deverá ser elaborada em duas vias de igual teor e forma, devendo a cópia ser apresentado à SRE ao final do ano e a via original mantida no arquivo da escola após aprovação pelo Colegiado Escolar, devendo a Caixa Escolar disponibilizá-la, quando solicitada aos demais órgãos de controle interno e externo.</w:t>
      </w:r>
    </w:p>
    <w:p w:rsidR="00CE15F7" w:rsidRDefault="00CE15F7"/>
    <w:sectPr w:rsidR="00CE1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F7"/>
    <w:rsid w:val="00576A2A"/>
    <w:rsid w:val="006B0002"/>
    <w:rsid w:val="00C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chartTrackingRefBased/>
  <w15:docId w15:val="{228CC185-1065-4135-8B24-7510D2D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nswernumber">
    <w:name w:val="answernumber"/>
    <w:basedOn w:val="Fontepargpadro"/>
    <w:rsid w:val="00CE15F7"/>
  </w:style>
  <w:style w:type="character" w:styleId="Hyperlink">
    <w:name w:val="Hyperlink"/>
    <w:basedOn w:val="Fontepargpadro"/>
    <w:uiPriority w:val="99"/>
    <w:semiHidden/>
    <w:unhideWhenUsed/>
    <w:rsid w:val="00CE15F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E1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8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9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5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62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0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4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3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8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2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4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5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42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3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10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63" Type="http://schemas.openxmlformats.org/officeDocument/2006/relationships/control" Target="activeX/activeX43.xml"/><Relationship Id="rId68" Type="http://schemas.openxmlformats.org/officeDocument/2006/relationships/control" Target="activeX/activeX46.xml"/><Relationship Id="rId16" Type="http://schemas.openxmlformats.org/officeDocument/2006/relationships/hyperlink" Target="http://eadformacao.educacao.mg.gov.br/mod/resource/view.php?id=235" TargetMode="External"/><Relationship Id="rId11" Type="http://schemas.openxmlformats.org/officeDocument/2006/relationships/hyperlink" Target="http://eadformacao.educacao.mg.gov.br/mod/resource/view.php?id=235" TargetMode="External"/><Relationship Id="rId24" Type="http://schemas.openxmlformats.org/officeDocument/2006/relationships/hyperlink" Target="http://eadformacao.educacao.mg.gov.br/mod/resource/view.php?id=235" TargetMode="External"/><Relationship Id="rId32" Type="http://schemas.openxmlformats.org/officeDocument/2006/relationships/control" Target="activeX/activeX17.xml"/><Relationship Id="rId37" Type="http://schemas.openxmlformats.org/officeDocument/2006/relationships/hyperlink" Target="http://eadformacao.educacao.mg.gov.br/mod/resource/view.php?id=235" TargetMode="External"/><Relationship Id="rId40" Type="http://schemas.openxmlformats.org/officeDocument/2006/relationships/control" Target="activeX/activeX23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39.xml"/><Relationship Id="rId66" Type="http://schemas.openxmlformats.org/officeDocument/2006/relationships/control" Target="activeX/activeX45.xml"/><Relationship Id="rId74" Type="http://schemas.openxmlformats.org/officeDocument/2006/relationships/control" Target="activeX/activeX49.xml"/><Relationship Id="rId79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hyperlink" Target="http://eadformacao.educacao.mg.gov.br/mod/resource/view.php?id=235" TargetMode="Externa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22" Type="http://schemas.openxmlformats.org/officeDocument/2006/relationships/hyperlink" Target="http://eadformacao.educacao.mg.gov.br/mod/resource/view.php?id=235" TargetMode="Externa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hyperlink" Target="http://eadformacao.educacao.mg.gov.br/mod/resource/view.php?id=235" TargetMode="External"/><Relationship Id="rId43" Type="http://schemas.openxmlformats.org/officeDocument/2006/relationships/hyperlink" Target="http://eadformacao.educacao.mg.gov.br/mod/resource/view.php?id=235" TargetMode="External"/><Relationship Id="rId48" Type="http://schemas.openxmlformats.org/officeDocument/2006/relationships/control" Target="activeX/activeX30.xml"/><Relationship Id="rId56" Type="http://schemas.openxmlformats.org/officeDocument/2006/relationships/control" Target="activeX/activeX37.xml"/><Relationship Id="rId64" Type="http://schemas.openxmlformats.org/officeDocument/2006/relationships/control" Target="activeX/activeX44.xml"/><Relationship Id="rId69" Type="http://schemas.openxmlformats.org/officeDocument/2006/relationships/hyperlink" Target="http://eadformacao.educacao.mg.gov.br/mod/resource/view.php?id=235" TargetMode="External"/><Relationship Id="rId77" Type="http://schemas.openxmlformats.org/officeDocument/2006/relationships/hyperlink" Target="http://eadformacao.educacao.mg.gov.br/mod/resource/view.php?id=235" TargetMode="External"/><Relationship Id="rId8" Type="http://schemas.openxmlformats.org/officeDocument/2006/relationships/hyperlink" Target="http://eadformacao.educacao.mg.gov.br/mod/resource/view.php?id=235" TargetMode="External"/><Relationship Id="rId51" Type="http://schemas.openxmlformats.org/officeDocument/2006/relationships/control" Target="activeX/activeX33.xml"/><Relationship Id="rId72" Type="http://schemas.openxmlformats.org/officeDocument/2006/relationships/control" Target="activeX/activeX48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control" Target="activeX/activeX28.xml"/><Relationship Id="rId59" Type="http://schemas.openxmlformats.org/officeDocument/2006/relationships/control" Target="activeX/activeX40.xml"/><Relationship Id="rId67" Type="http://schemas.openxmlformats.org/officeDocument/2006/relationships/hyperlink" Target="http://eadformacao.educacao.mg.gov.br/mod/resource/view.php?id=235" TargetMode="External"/><Relationship Id="rId20" Type="http://schemas.openxmlformats.org/officeDocument/2006/relationships/control" Target="activeX/activeX9.xml"/><Relationship Id="rId41" Type="http://schemas.openxmlformats.org/officeDocument/2006/relationships/control" Target="activeX/activeX24.xml"/><Relationship Id="rId54" Type="http://schemas.openxmlformats.org/officeDocument/2006/relationships/hyperlink" Target="http://eadformacao.educacao.mg.gov.br/mod/resource/view.php?id=235" TargetMode="External"/><Relationship Id="rId62" Type="http://schemas.openxmlformats.org/officeDocument/2006/relationships/control" Target="activeX/activeX42.xml"/><Relationship Id="rId70" Type="http://schemas.openxmlformats.org/officeDocument/2006/relationships/control" Target="activeX/activeX47.xml"/><Relationship Id="rId75" Type="http://schemas.openxmlformats.org/officeDocument/2006/relationships/hyperlink" Target="http://eadformacao.educacao.mg.gov.br/mod/resource/view.php?id=235" TargetMode="External"/><Relationship Id="rId1" Type="http://schemas.openxmlformats.org/officeDocument/2006/relationships/styles" Target="styles.xml"/><Relationship Id="rId6" Type="http://schemas.openxmlformats.org/officeDocument/2006/relationships/hyperlink" Target="http://eadformacao.educacao.mg.gov.br/mod/resource/view.php?id=235" TargetMode="External"/><Relationship Id="rId15" Type="http://schemas.openxmlformats.org/officeDocument/2006/relationships/hyperlink" Target="http://eadformacao.educacao.mg.gov.br/mod/resource/view.php?id=235" TargetMode="External"/><Relationship Id="rId23" Type="http://schemas.openxmlformats.org/officeDocument/2006/relationships/hyperlink" Target="http://eadformacao.educacao.mg.gov.br/mod/resource/view.php?id=235" TargetMode="Externa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Relationship Id="rId57" Type="http://schemas.openxmlformats.org/officeDocument/2006/relationships/control" Target="activeX/activeX38.xml"/><Relationship Id="rId10" Type="http://schemas.openxmlformats.org/officeDocument/2006/relationships/control" Target="activeX/activeX3.xml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1.xml"/><Relationship Id="rId65" Type="http://schemas.openxmlformats.org/officeDocument/2006/relationships/hyperlink" Target="http://eadformacao.educacao.mg.gov.br/mod/resource/view.php?id=235" TargetMode="External"/><Relationship Id="rId73" Type="http://schemas.openxmlformats.org/officeDocument/2006/relationships/hyperlink" Target="http://eadformacao.educacao.mg.gov.br/mod/resource/view.php?id=235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3" Type="http://schemas.openxmlformats.org/officeDocument/2006/relationships/hyperlink" Target="http://eadformacao.educacao.mg.gov.br/mod/resource/view.php?id=235" TargetMode="External"/><Relationship Id="rId18" Type="http://schemas.openxmlformats.org/officeDocument/2006/relationships/control" Target="activeX/activeX7.xml"/><Relationship Id="rId39" Type="http://schemas.openxmlformats.org/officeDocument/2006/relationships/control" Target="activeX/activeX22.xml"/><Relationship Id="rId34" Type="http://schemas.openxmlformats.org/officeDocument/2006/relationships/control" Target="activeX/activeX1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6.xml"/><Relationship Id="rId76" Type="http://schemas.openxmlformats.org/officeDocument/2006/relationships/control" Target="activeX/activeX50.xml"/><Relationship Id="rId7" Type="http://schemas.openxmlformats.org/officeDocument/2006/relationships/control" Target="activeX/activeX2.xml"/><Relationship Id="rId71" Type="http://schemas.openxmlformats.org/officeDocument/2006/relationships/hyperlink" Target="http://eadformacao.educacao.mg.gov.br/mod/resource/view.php?id=23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dformacao.educacao.mg.gov.br/mod/resource/view.php?id=23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2629</Words>
  <Characters>14198</Characters>
  <Application>Microsoft Office Word</Application>
  <DocSecurity>4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Educação</Company>
  <LinksUpToDate>false</LinksUpToDate>
  <CharactersWithSpaces>16794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</dc:creator>
  <cp:keywords/>
  <dc:description/>
  <cp:lastModifiedBy>Rose Rodrigues</cp:lastModifiedBy>
  <cp:revision>2</cp:revision>
  <dcterms:created xsi:type="dcterms:W3CDTF">2018-10-31T10:28:00Z</dcterms:created>
  <dcterms:modified xsi:type="dcterms:W3CDTF">2018-10-31T10:28:00Z</dcterms:modified>
</cp:coreProperties>
</file>