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65" w:rsidRDefault="00480C65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>
        <w:rPr>
          <w:rFonts w:ascii="Open Sans" w:eastAsia="Times New Roman" w:hAnsi="Open Sans" w:cs="Open Sans"/>
          <w:color w:val="333333"/>
          <w:lang w:eastAsia="pt-BR"/>
        </w:rPr>
        <w:t>Atividade 3</w:t>
      </w:r>
      <w:bookmarkStart w:id="0" w:name="_GoBack"/>
      <w:bookmarkEnd w:id="0"/>
    </w:p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O regime especial de adiantamento é para a realização de despesas miúdas de caráter emergencial e/ou eventual que não se enquadram nos procedimentos usuais de licitação e contratação. Com base nesta informação, selecione a alternativa correta para sua utilização: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4" o:title=""/>
          </v:shape>
          <w:control r:id="rId5" w:name="DefaultOcxName" w:shapeid="_x0000_i1080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a. Pintura do prédio escolar.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083" type="#_x0000_t75" style="width:20.25pt;height:18pt" o:ole="">
            <v:imagedata r:id="rId4" o:title=""/>
          </v:shape>
          <w:control r:id="rId6" w:name="DefaultOcxName1" w:shapeid="_x0000_i1083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b. Aquisição de gêneros alimentícios para curso.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086" type="#_x0000_t75" style="width:20.25pt;height:18pt" o:ole="">
            <v:imagedata r:id="rId7" o:title=""/>
          </v:shape>
          <w:control r:id="rId8" w:name="DefaultOcxName2" w:shapeid="_x0000_i1086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c. Conserto de porta.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089" type="#_x0000_t75" style="width:20.25pt;height:18pt" o:ole="">
            <v:imagedata r:id="rId4" o:title=""/>
          </v:shape>
          <w:control r:id="rId9" w:name="DefaultOcxName3" w:shapeid="_x0000_i1089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d. Compra de diário de classe.</w:t>
      </w:r>
    </w:p>
    <w:p w:rsidR="00F313EA" w:rsidRP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092" type="#_x0000_t75" style="width:20.25pt;height:18pt" o:ole="">
            <v:imagedata r:id="rId4" o:title=""/>
          </v:shape>
          <w:control r:id="rId10" w:name="DefaultOcxName4" w:shapeid="_x0000_i1092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e. Pagamento de internet.</w:t>
      </w:r>
    </w:p>
    <w:p w:rsidR="00AC49D1" w:rsidRDefault="00AC49D1"/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A caixa escolar pode realizar despesas utilizando os recursos do PDDE, EXCETO: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095" type="#_x0000_t75" style="width:20.25pt;height:18pt" o:ole="">
            <v:imagedata r:id="rId4" o:title=""/>
          </v:shape>
          <w:control r:id="rId11" w:name="DefaultOcxName7" w:shapeid="_x0000_i1095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a. Na implementação de projetos pedagógicos;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098" type="#_x0000_t75" style="width:20.25pt;height:18pt" o:ole="">
            <v:imagedata r:id="rId4" o:title=""/>
          </v:shape>
          <w:control r:id="rId12" w:name="DefaultOcxName11" w:shapeid="_x0000_i1098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b. No desenvolvimento de atividades educacionais;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01" type="#_x0000_t75" style="width:20.25pt;height:18pt" o:ole="">
            <v:imagedata r:id="rId7" o:title=""/>
          </v:shape>
          <w:control r:id="rId13" w:name="DefaultOcxName21" w:shapeid="_x0000_i1101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c. Na aquisição de uniforme para alunos carentes;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04" type="#_x0000_t75" style="width:20.25pt;height:18pt" o:ole="">
            <v:imagedata r:id="rId4" o:title=""/>
          </v:shape>
          <w:control r:id="rId14" w:name="DefaultOcxName31" w:shapeid="_x0000_i1104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d. Na manutenção, conservação e pequenos reparos da infraestrutura física da escola;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07" type="#_x0000_t75" style="width:20.25pt;height:18pt" o:ole="">
            <v:imagedata r:id="rId4" o:title=""/>
          </v:shape>
          <w:control r:id="rId15" w:name="DefaultOcxName41" w:shapeid="_x0000_i1107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e. Na aquisição de material de consumo;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10" type="#_x0000_t75" style="width:20.25pt;height:18pt" o:ole="">
            <v:imagedata r:id="rId4" o:title=""/>
          </v:shape>
          <w:control r:id="rId16" w:name="DefaultOcxName5" w:shapeid="_x0000_i1110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f. Na aquisição de material permanente, quando receberem recursos de capital;</w:t>
      </w:r>
    </w:p>
    <w:p w:rsidR="00F313EA" w:rsidRP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13" type="#_x0000_t75" style="width:20.25pt;height:18pt" o:ole="">
            <v:imagedata r:id="rId4" o:title=""/>
          </v:shape>
          <w:control r:id="rId17" w:name="DefaultOcxName6" w:shapeid="_x0000_i1113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g. No pagamento de despesas cartorárias (alterações de estatutos das </w:t>
      </w:r>
      <w:proofErr w:type="spellStart"/>
      <w:r w:rsidRPr="00F313EA">
        <w:rPr>
          <w:rFonts w:ascii="Open Sans" w:eastAsia="Times New Roman" w:hAnsi="Open Sans" w:cs="Open Sans"/>
          <w:color w:val="333333"/>
          <w:lang w:eastAsia="pt-BR"/>
        </w:rPr>
        <w:t>UEx</w:t>
      </w:r>
      <w:proofErr w:type="spellEnd"/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 ou recomposição de membros).</w:t>
      </w:r>
    </w:p>
    <w:p w:rsidR="00F313EA" w:rsidRDefault="00F313EA"/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A utilização dos recursos é predefinida no objeto do Termo de Compromisso e detalhada no plano de trabalho. Com base nesta afirmação, relacione o objeto do termo de compromisso da 1ª coluna, com sua utilização correta, de acordo com a 2ª coluna: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a)       Obras                                                  </w:t>
      </w:r>
      <w:proofErr w:type="gramStart"/>
      <w:r w:rsidRPr="00F313EA">
        <w:rPr>
          <w:rFonts w:ascii="Open Sans" w:eastAsia="Times New Roman" w:hAnsi="Open Sans" w:cs="Open Sans"/>
          <w:color w:val="333333"/>
          <w:lang w:eastAsia="pt-BR"/>
        </w:rPr>
        <w:t>   </w:t>
      </w:r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(</w:t>
      </w:r>
      <w:proofErr w:type="gramEnd"/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   )</w:t>
      </w:r>
      <w:r w:rsidRPr="00F313EA">
        <w:rPr>
          <w:rFonts w:ascii="Open Sans" w:eastAsia="Times New Roman" w:hAnsi="Open Sans" w:cs="Open Sans"/>
          <w:color w:val="333333"/>
          <w:lang w:eastAsia="pt-BR"/>
        </w:rPr>
        <w:t> Aquisições e/ou execução de serviços para cumprimento de atividades pedagógicas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                                                                              </w:t>
      </w:r>
      <w:proofErr w:type="gramStart"/>
      <w:r w:rsidRPr="00F313EA">
        <w:rPr>
          <w:rFonts w:ascii="Open Sans" w:eastAsia="Times New Roman" w:hAnsi="Open Sans" w:cs="Open Sans"/>
          <w:color w:val="333333"/>
          <w:lang w:eastAsia="pt-BR"/>
        </w:rPr>
        <w:t>específicas</w:t>
      </w:r>
      <w:proofErr w:type="gramEnd"/>
      <w:r w:rsidRPr="00F313EA">
        <w:rPr>
          <w:rFonts w:ascii="Open Sans" w:eastAsia="Times New Roman" w:hAnsi="Open Sans" w:cs="Open Sans"/>
          <w:color w:val="333333"/>
          <w:lang w:eastAsia="pt-BR"/>
        </w:rPr>
        <w:t>.                 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b)      Alimentação Escolar                         </w:t>
      </w:r>
      <w:proofErr w:type="gramStart"/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   </w:t>
      </w:r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(</w:t>
      </w:r>
      <w:proofErr w:type="gramEnd"/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   )</w:t>
      </w:r>
      <w:r w:rsidRPr="00F313EA">
        <w:rPr>
          <w:rFonts w:ascii="Open Sans" w:eastAsia="Times New Roman" w:hAnsi="Open Sans" w:cs="Open Sans"/>
          <w:color w:val="333333"/>
          <w:lang w:eastAsia="pt-BR"/>
        </w:rPr>
        <w:t> Materiais de limpeza e higiene, esportivo, secretaria, suprimentos de informática e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                                                                              </w:t>
      </w:r>
      <w:proofErr w:type="gramStart"/>
      <w:r w:rsidRPr="00F313EA">
        <w:rPr>
          <w:rFonts w:ascii="Open Sans" w:eastAsia="Times New Roman" w:hAnsi="Open Sans" w:cs="Open Sans"/>
          <w:color w:val="333333"/>
          <w:lang w:eastAsia="pt-BR"/>
        </w:rPr>
        <w:t>material</w:t>
      </w:r>
      <w:proofErr w:type="gramEnd"/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 escolar.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  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c)</w:t>
      </w:r>
      <w:r>
        <w:rPr>
          <w:rFonts w:ascii="Open Sans" w:eastAsia="Times New Roman" w:hAnsi="Open Sans" w:cs="Open Sans"/>
          <w:color w:val="333333"/>
          <w:lang w:eastAsia="pt-BR"/>
        </w:rPr>
        <w:t xml:space="preserve"> </w:t>
      </w:r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Manutenção e Custeio                            </w:t>
      </w:r>
      <w:proofErr w:type="gramStart"/>
      <w:r w:rsidRPr="00F313EA">
        <w:rPr>
          <w:rFonts w:ascii="Open Sans" w:eastAsia="Times New Roman" w:hAnsi="Open Sans" w:cs="Open Sans"/>
          <w:color w:val="333333"/>
          <w:lang w:eastAsia="pt-BR"/>
        </w:rPr>
        <w:t>   </w:t>
      </w:r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(</w:t>
      </w:r>
      <w:proofErr w:type="gramEnd"/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   )</w:t>
      </w:r>
      <w:r w:rsidRPr="00F313EA">
        <w:rPr>
          <w:rFonts w:ascii="Open Sans" w:eastAsia="Times New Roman" w:hAnsi="Open Sans" w:cs="Open Sans"/>
          <w:color w:val="333333"/>
          <w:lang w:eastAsia="pt-BR"/>
        </w:rPr>
        <w:t> Aquisição de gêneros alimentícios para elaboração de alimentação escolar a ser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                                                                        </w:t>
      </w:r>
      <w:proofErr w:type="gramStart"/>
      <w:r w:rsidRPr="00F313EA">
        <w:rPr>
          <w:rFonts w:ascii="Open Sans" w:eastAsia="Times New Roman" w:hAnsi="Open Sans" w:cs="Open Sans"/>
          <w:color w:val="333333"/>
          <w:lang w:eastAsia="pt-BR"/>
        </w:rPr>
        <w:t>oferecida</w:t>
      </w:r>
      <w:proofErr w:type="gramEnd"/>
      <w:r w:rsidRPr="00F313EA">
        <w:rPr>
          <w:rFonts w:ascii="Open Sans" w:eastAsia="Times New Roman" w:hAnsi="Open Sans" w:cs="Open Sans"/>
          <w:color w:val="333333"/>
          <w:lang w:eastAsia="pt-BR"/>
        </w:rPr>
        <w:t> aos educandos.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   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lastRenderedPageBreak/>
        <w:t>d) Aquisição de móveis e equipamentos</w:t>
      </w:r>
      <w:proofErr w:type="gramStart"/>
      <w:r w:rsidRPr="00F313EA">
        <w:rPr>
          <w:rFonts w:ascii="Open Sans" w:eastAsia="Times New Roman" w:hAnsi="Open Sans" w:cs="Open Sans"/>
          <w:color w:val="333333"/>
          <w:lang w:eastAsia="pt-BR"/>
        </w:rPr>
        <w:t>   </w:t>
      </w:r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(</w:t>
      </w:r>
      <w:proofErr w:type="gramEnd"/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   )</w:t>
      </w:r>
      <w:r w:rsidRPr="00F313EA">
        <w:rPr>
          <w:rFonts w:ascii="Open Sans" w:eastAsia="Times New Roman" w:hAnsi="Open Sans" w:cs="Open Sans"/>
          <w:color w:val="333333"/>
          <w:lang w:eastAsia="pt-BR"/>
        </w:rPr>
        <w:t> Construção, ampliação, reforma ou adequação do prédio escolar.  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e)      Projetos da SEE                                  </w:t>
      </w:r>
      <w:proofErr w:type="gramStart"/>
      <w:r w:rsidRPr="00F313EA">
        <w:rPr>
          <w:rFonts w:ascii="Open Sans" w:eastAsia="Times New Roman" w:hAnsi="Open Sans" w:cs="Open Sans"/>
          <w:color w:val="333333"/>
          <w:lang w:eastAsia="pt-BR"/>
        </w:rPr>
        <w:t>   </w:t>
      </w:r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(</w:t>
      </w:r>
      <w:proofErr w:type="gramEnd"/>
      <w:r w:rsidRPr="00F313EA">
        <w:rPr>
          <w:rFonts w:ascii="Open Sans" w:eastAsia="Times New Roman" w:hAnsi="Open Sans" w:cs="Open Sans"/>
          <w:b/>
          <w:bCs/>
          <w:color w:val="333333"/>
          <w:lang w:eastAsia="pt-BR"/>
        </w:rPr>
        <w:t>   )</w:t>
      </w:r>
      <w:r w:rsidRPr="00F313EA">
        <w:rPr>
          <w:rFonts w:ascii="Open Sans" w:eastAsia="Times New Roman" w:hAnsi="Open Sans" w:cs="Open Sans"/>
          <w:color w:val="333333"/>
          <w:lang w:eastAsia="pt-BR"/>
        </w:rPr>
        <w:t> Aquisição de Computadores.          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A sequência correta é: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16" type="#_x0000_t75" style="width:20.25pt;height:18pt" o:ole="">
            <v:imagedata r:id="rId4" o:title=""/>
          </v:shape>
          <w:control r:id="rId18" w:name="DefaultOcxName8" w:shapeid="_x0000_i1116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I. e, a, c, </w:t>
      </w:r>
      <w:proofErr w:type="gramStart"/>
      <w:r w:rsidRPr="00F313EA">
        <w:rPr>
          <w:rFonts w:ascii="Open Sans" w:eastAsia="Times New Roman" w:hAnsi="Open Sans" w:cs="Open Sans"/>
          <w:color w:val="333333"/>
          <w:lang w:eastAsia="pt-BR"/>
        </w:rPr>
        <w:t>d ,</w:t>
      </w:r>
      <w:proofErr w:type="gramEnd"/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 b.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19" type="#_x0000_t75" style="width:20.25pt;height:18pt" o:ole="">
            <v:imagedata r:id="rId4" o:title=""/>
          </v:shape>
          <w:control r:id="rId19" w:name="DefaultOcxName12" w:shapeid="_x0000_i1119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II. b, a, e, d, b.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22" type="#_x0000_t75" style="width:20.25pt;height:18pt" o:ole="">
            <v:imagedata r:id="rId7" o:title=""/>
          </v:shape>
          <w:control r:id="rId20" w:name="DefaultOcxName22" w:shapeid="_x0000_i1122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III. e, c, b, a, d.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25" type="#_x0000_t75" style="width:20.25pt;height:18pt" o:ole="">
            <v:imagedata r:id="rId4" o:title=""/>
          </v:shape>
          <w:control r:id="rId21" w:name="DefaultOcxName32" w:shapeid="_x0000_i1125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IV. d, e, c, a, b.</w:t>
      </w:r>
    </w:p>
    <w:p w:rsidR="00F313EA" w:rsidRP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28" type="#_x0000_t75" style="width:20.25pt;height:18pt" o:ole="">
            <v:imagedata r:id="rId4" o:title=""/>
          </v:shape>
          <w:control r:id="rId22" w:name="DefaultOcxName42" w:shapeid="_x0000_i1128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V. e, c, d, a, b.</w:t>
      </w:r>
    </w:p>
    <w:p w:rsidR="00F313EA" w:rsidRDefault="00F313EA"/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Selecione a alternativa correta:</w:t>
      </w:r>
    </w:p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31" type="#_x0000_t75" style="width:20.25pt;height:18pt" o:ole="">
            <v:imagedata r:id="rId7" o:title=""/>
          </v:shape>
          <w:control r:id="rId23" w:name="DefaultOcxName9" w:shapeid="_x0000_i1131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a.</w:t>
      </w:r>
    </w:p>
    <w:p w:rsidR="00F313EA" w:rsidRPr="00F313EA" w:rsidRDefault="00F313EA" w:rsidP="00F313EA">
      <w:pPr>
        <w:shd w:val="clear" w:color="auto" w:fill="FFFFFF"/>
        <w:spacing w:after="12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O aditamento poderá ocorrer para prorrogação de prazo, adequação de metas pactuadas e/ou valor, desde que devidamente justificado e formalizado, mediante proposta apresentada pela caixa escolar no prazo mínimo de trinta dias antes do término da vigência, após aprovação pela Unidade Gerenciadora do projeto ou atividade no âmbito da SEE/MG.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34" type="#_x0000_t75" style="width:20.25pt;height:18pt" o:ole="">
            <v:imagedata r:id="rId4" o:title=""/>
          </v:shape>
          <w:control r:id="rId24" w:name="DefaultOcxName13" w:shapeid="_x0000_i1134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b.</w:t>
      </w:r>
    </w:p>
    <w:p w:rsidR="00F313EA" w:rsidRPr="00F313EA" w:rsidRDefault="00F313EA" w:rsidP="00F313EA">
      <w:pPr>
        <w:shd w:val="clear" w:color="auto" w:fill="FFFFFF"/>
        <w:spacing w:after="12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O aditamento poderá ocorrer para prorrogação de prazo e valor, desde que devidamente justificado e formalizado, mediante proposta apresentada pela caixa escolar no prazo mínimo de vinte dias antes do término da vigência, após aprovação pela Unidade Gerenciadora do projeto ou atividade no âmbito da SEE/MG.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37" type="#_x0000_t75" style="width:20.25pt;height:18pt" o:ole="">
            <v:imagedata r:id="rId4" o:title=""/>
          </v:shape>
          <w:control r:id="rId25" w:name="DefaultOcxName23" w:shapeid="_x0000_i1137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c.</w:t>
      </w:r>
    </w:p>
    <w:p w:rsidR="00F313EA" w:rsidRPr="00F313EA" w:rsidRDefault="00F313EA" w:rsidP="00F313EA">
      <w:pPr>
        <w:shd w:val="clear" w:color="auto" w:fill="FFFFFF"/>
        <w:spacing w:after="12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O aditamento poderá ocorrer somente para adequação de metas pactuadas, sem necessidade de justificativa, mas devidamente formalizado, a qualquer tempo, antes do término da vigência.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40" type="#_x0000_t75" style="width:20.25pt;height:18pt" o:ole="">
            <v:imagedata r:id="rId4" o:title=""/>
          </v:shape>
          <w:control r:id="rId26" w:name="DefaultOcxName33" w:shapeid="_x0000_i1140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d.</w:t>
      </w:r>
    </w:p>
    <w:p w:rsidR="00F313EA" w:rsidRPr="00F313EA" w:rsidRDefault="00F313EA" w:rsidP="00F313EA">
      <w:pPr>
        <w:shd w:val="clear" w:color="auto" w:fill="FFFFFF"/>
        <w:spacing w:after="12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O aditamento poderá ocorrer, mediante proposta apresentada pela caixa escolar no prazo mínimo de trinta dias antes do término da vigência e será considerado a partir do protocolo na SRE, podendo ocorrer para prorrogação de prazo, adequação de metas pactuadas e/ou valor.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43" type="#_x0000_t75" style="width:20.25pt;height:18pt" o:ole="">
            <v:imagedata r:id="rId4" o:title=""/>
          </v:shape>
          <w:control r:id="rId27" w:name="DefaultOcxName43" w:shapeid="_x0000_i1143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e.</w:t>
      </w:r>
    </w:p>
    <w:p w:rsidR="00F313EA" w:rsidRPr="00F313EA" w:rsidRDefault="00F313EA" w:rsidP="00F313EA">
      <w:pPr>
        <w:shd w:val="clear" w:color="auto" w:fill="FFFFFF"/>
        <w:spacing w:after="12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 xml:space="preserve">Somente após aprovação pela Unidade Gerenciadora do projeto ou atividade no âmbito da SEE/MG é que o aditamento poderá ocorrer para prorrogação de prazo, adequação de </w:t>
      </w:r>
      <w:r w:rsidRPr="00F313EA">
        <w:rPr>
          <w:rFonts w:ascii="Open Sans" w:eastAsia="Times New Roman" w:hAnsi="Open Sans" w:cs="Open Sans"/>
          <w:color w:val="333333"/>
          <w:lang w:eastAsia="pt-BR"/>
        </w:rPr>
        <w:lastRenderedPageBreak/>
        <w:t>metas pactuadas e/ou valor, desde que devidamente justificado e formalizado, no prazo mínimo de quinze dias antes do término da vigência.</w:t>
      </w:r>
    </w:p>
    <w:p w:rsidR="00F313EA" w:rsidRDefault="00F313EA"/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Marque a alternativa que não consta documento fiscal: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46" type="#_x0000_t75" style="width:20.25pt;height:18pt" o:ole="">
            <v:imagedata r:id="rId4" o:title=""/>
          </v:shape>
          <w:control r:id="rId28" w:name="DefaultOcxName10" w:shapeid="_x0000_i1146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a. NF-e, RPA e cupom fiscal.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49" type="#_x0000_t75" style="width:20.25pt;height:18pt" o:ole="">
            <v:imagedata r:id="rId4" o:title=""/>
          </v:shape>
          <w:control r:id="rId29" w:name="DefaultOcxName14" w:shapeid="_x0000_i1149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b. NF-e Avulsa, RPA e cupom fiscal.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52" type="#_x0000_t75" style="width:20.25pt;height:18pt" o:ole="">
            <v:imagedata r:id="rId4" o:title=""/>
          </v:shape>
          <w:control r:id="rId30" w:name="DefaultOcxName24" w:shapeid="_x0000_i1152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c. NF-e, recibo de cartório e cupom fiscal.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55" type="#_x0000_t75" style="width:20.25pt;height:18pt" o:ole="">
            <v:imagedata r:id="rId7" o:title=""/>
          </v:shape>
          <w:control r:id="rId31" w:name="DefaultOcxName34" w:shapeid="_x0000_i1155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d. DANFE, RPA e cupom fiscal.</w:t>
      </w:r>
    </w:p>
    <w:p w:rsidR="00F313EA" w:rsidRP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58" type="#_x0000_t75" style="width:20.25pt;height:18pt" o:ole="">
            <v:imagedata r:id="rId4" o:title=""/>
          </v:shape>
          <w:control r:id="rId32" w:name="DefaultOcxName44" w:shapeid="_x0000_i1158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e. NF-e, RPA e nota fiscal -Modelo 1.</w:t>
      </w:r>
    </w:p>
    <w:p w:rsidR="00F313EA" w:rsidRDefault="00F313EA"/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Para determinadas despesas a caixa escolar é obrigada a realizar a retenção de alguns impostos e encargos, conforme legislação vigente. Marque a alternativa que demonstra estes impostos e encargos: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61" type="#_x0000_t75" style="width:20.25pt;height:18pt" o:ole="">
            <v:imagedata r:id="rId4" o:title=""/>
          </v:shape>
          <w:control r:id="rId33" w:name="DefaultOcxName16" w:shapeid="_x0000_i1161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a. ICMS, ISSQN e IRRF.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64" type="#_x0000_t75" style="width:20.25pt;height:18pt" o:ole="">
            <v:imagedata r:id="rId4" o:title=""/>
          </v:shape>
          <w:control r:id="rId34" w:name="DefaultOcxName15" w:shapeid="_x0000_i1164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b. INSS, CONFINS e DCTF.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67" type="#_x0000_t75" style="width:20.25pt;height:18pt" o:ole="">
            <v:imagedata r:id="rId4" o:title=""/>
          </v:shape>
          <w:control r:id="rId35" w:name="DefaultOcxName25" w:shapeid="_x0000_i1167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c. ICMS, INSS e RAIS;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70" type="#_x0000_t75" style="width:20.25pt;height:18pt" o:ole="">
            <v:imagedata r:id="rId4" o:title=""/>
          </v:shape>
          <w:control r:id="rId36" w:name="DefaultOcxName35" w:shapeid="_x0000_i1170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d. ISSQN, INSS e DCTF;</w:t>
      </w:r>
    </w:p>
    <w:p w:rsidR="00F313EA" w:rsidRP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73" type="#_x0000_t75" style="width:20.25pt;height:18pt" o:ole="">
            <v:imagedata r:id="rId7" o:title=""/>
          </v:shape>
          <w:control r:id="rId37" w:name="DefaultOcxName45" w:shapeid="_x0000_i1173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e. IRRF, INSS e ISSQN.</w:t>
      </w:r>
    </w:p>
    <w:p w:rsidR="00F313EA" w:rsidRDefault="00F313EA"/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Uma caixa escolar recebe uma doação de R$10.000,00 (dez mil reais) e decide, após reunião com o Colegiado Escolar, adquirir equipamentos de informática para sala de informática da escola. Uma vez que os recursos seriam utilizados imediatamente, os mesmos não foram depositados e por serem oriundos de doação, não há necessidade de procedimento licitatório, sendo necessário somente a pesquisa de preço.</w:t>
      </w:r>
    </w:p>
    <w:p w:rsidR="00F313EA" w:rsidRPr="00F313EA" w:rsidRDefault="00F313EA" w:rsidP="00F313EA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O procedimento informado está correto?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76" type="#_x0000_t75" style="width:20.25pt;height:18pt" o:ole="">
            <v:imagedata r:id="rId4" o:title=""/>
          </v:shape>
          <w:control r:id="rId38" w:name="DefaultOcxName18" w:shapeid="_x0000_i1176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a. Sim, uma vez que conforme prevê a Resolução SEE nº 3670/2017, houve a participação do Colegiado Escolar que definiu o Plano de Aplicação dos recursos.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79" type="#_x0000_t75" style="width:20.25pt;height:18pt" o:ole="">
            <v:imagedata r:id="rId4" o:title=""/>
          </v:shape>
          <w:control r:id="rId39" w:name="DefaultOcxName17" w:shapeid="_x0000_i1179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b. Não, porque para que a execução estivesse correta é necessário o Processo licitatório na modalidade Convite.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82" type="#_x0000_t75" style="width:20.25pt;height:18pt" o:ole="">
            <v:imagedata r:id="rId4" o:title=""/>
          </v:shape>
          <w:control r:id="rId40" w:name="DefaultOcxName26" w:shapeid="_x0000_i1182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c. Sim, porque pelo valor, poderia adotar o procedimento de dispensa de licitação, que prevê os orçamentos, que junto com ata e notas fiscais demonstrariam a regularidade da utilização dos recursos, em conformidade com o artigo 33 da Resolução SEE nº 3670/2017.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85" type="#_x0000_t75" style="width:20.25pt;height:18pt" o:ole="">
            <v:imagedata r:id="rId7" o:title=""/>
          </v:shape>
          <w:control r:id="rId41" w:name="DefaultOcxName36" w:shapeid="_x0000_i1185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d. Não, porque a utilização dos recursos está subordinada as mesmas normas estabelecidas na Resolução SEE nº 3670/2017.</w:t>
      </w:r>
    </w:p>
    <w:p w:rsidR="00F313EA" w:rsidRP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88" type="#_x0000_t75" style="width:20.25pt;height:18pt" o:ole="">
            <v:imagedata r:id="rId4" o:title=""/>
          </v:shape>
          <w:control r:id="rId42" w:name="DefaultOcxName46" w:shapeid="_x0000_i1188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e. NRA.</w:t>
      </w:r>
    </w:p>
    <w:p w:rsidR="00F313EA" w:rsidRDefault="00F313EA"/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Marque a alternativa que demonstra as principais cláusulas do contrato que deverão ser observadas pelo Presidente da caixa escolar: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91" type="#_x0000_t75" style="width:20.25pt;height:18pt" o:ole="">
            <v:imagedata r:id="rId4" o:title=""/>
          </v:shape>
          <w:control r:id="rId43" w:name="DefaultOcxName20" w:shapeid="_x0000_i1191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a. Objeto, preço, norma de execução, fiscalização e acompanhamento, penalidade, rescisão e vigência.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94" type="#_x0000_t75" style="width:20.25pt;height:18pt" o:ole="">
            <v:imagedata r:id="rId4" o:title=""/>
          </v:shape>
          <w:control r:id="rId44" w:name="DefaultOcxName19" w:shapeid="_x0000_i1194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b. Objeto, preço, prazo, o Foro da Comarca, penalidade, rescisão e vigência.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197" type="#_x0000_t75" style="width:20.25pt;height:18pt" o:ole="">
            <v:imagedata r:id="rId4" o:title=""/>
          </v:shape>
          <w:control r:id="rId45" w:name="DefaultOcxName27" w:shapeid="_x0000_i1197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c. Objeto, preço, prazo, fiscalização e acompanhamento, penalidade, a vinculação ao edital e vigência.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00" type="#_x0000_t75" style="width:20.25pt;height:18pt" o:ole="">
            <v:imagedata r:id="rId7" o:title=""/>
          </v:shape>
          <w:control r:id="rId46" w:name="DefaultOcxName37" w:shapeid="_x0000_i1200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d. Objeto, preço, prazo, fiscalização e acompanhamento, penalidade, rescisão e vigência.</w:t>
      </w:r>
    </w:p>
    <w:p w:rsidR="00F313EA" w:rsidRP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03" type="#_x0000_t75" style="width:20.25pt;height:18pt" o:ole="">
            <v:imagedata r:id="rId4" o:title=""/>
          </v:shape>
          <w:control r:id="rId47" w:name="DefaultOcxName47" w:shapeid="_x0000_i1203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e. Objeto, preço, prazo, fiscalização e acompanhamento, penalidade, a garantia da execução e vigência.</w:t>
      </w:r>
    </w:p>
    <w:p w:rsidR="00F313EA" w:rsidRDefault="00F313EA"/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Para execução de qualquer obra a caixa escolar deve atentar para algumas particularidades. Essas particularidades estão relacionadas abaixo, EXCETO: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06" type="#_x0000_t75" style="width:20.25pt;height:18pt" o:ole="">
            <v:imagedata r:id="rId4" o:title=""/>
          </v:shape>
          <w:control r:id="rId48" w:name="DefaultOcxName29" w:shapeid="_x0000_i1206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a. Realização de ensaios comprobatórios sobre a qualidade do material empregado pela empresa contratada, quando necessário;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09" type="#_x0000_t75" style="width:20.25pt;height:18pt" o:ole="">
            <v:imagedata r:id="rId4" o:title=""/>
          </v:shape>
          <w:control r:id="rId49" w:name="DefaultOcxName110" w:shapeid="_x0000_i1209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b. Cumprimento do cronograma físico-financeiro;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12" type="#_x0000_t75" style="width:20.25pt;height:18pt" o:ole="">
            <v:imagedata r:id="rId4" o:title=""/>
          </v:shape>
          <w:control r:id="rId50" w:name="DefaultOcxName28" w:shapeid="_x0000_i1212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c. Emissão de laudo técnico final de conclusão regular da obra pelo setor de infraestrutura escolar da Unidade Central e/ou SRE da SEE/MG em conformidade com os projetos e planilhas de custos aprovados.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15" type="#_x0000_t75" style="width:20.25pt;height:18pt" o:ole="">
            <v:imagedata r:id="rId7" o:title=""/>
          </v:shape>
          <w:control r:id="rId51" w:name="DefaultOcxName38" w:shapeid="_x0000_i1215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d. Registro da obra no INSS, por meio de Cadastro Específico do INSS (CEI);</w:t>
      </w:r>
    </w:p>
    <w:p w:rsid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18" type="#_x0000_t75" style="width:20.25pt;height:18pt" o:ole="">
            <v:imagedata r:id="rId4" o:title=""/>
          </v:shape>
          <w:control r:id="rId52" w:name="DefaultOcxName48" w:shapeid="_x0000_i1218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e. Utilização obrigatória de equipamentos de proteção individual e coletiva (EPI e EPC) pelos funcionários da empresa contratada;</w:t>
      </w:r>
    </w:p>
    <w:p w:rsid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</w:p>
    <w:p w:rsidR="00F313EA" w:rsidRPr="00F313EA" w:rsidRDefault="00F313EA" w:rsidP="00F313E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É vedado a caixa escolar, EXCETO:</w:t>
      </w:r>
    </w:p>
    <w:p w:rsidR="00F313EA" w:rsidRPr="00F313EA" w:rsidRDefault="00F313EA" w:rsidP="00F313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21" type="#_x0000_t75" style="width:20.25pt;height:18pt" o:ole="">
            <v:imagedata r:id="rId4" o:title=""/>
          </v:shape>
          <w:control r:id="rId53" w:name="DefaultOcxName30" w:shapeid="_x0000_i1221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a. Utilizar os recursos em desacordo com o objeto descrito no plano de trabalho.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24" type="#_x0000_t75" style="width:20.25pt;height:18pt" o:ole="">
            <v:imagedata r:id="rId7" o:title=""/>
          </v:shape>
          <w:control r:id="rId54" w:name="DefaultOcxName111" w:shapeid="_x0000_i1224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b. Obter recursos com eventos, previstos no calendário escolar, aprovado pela SEE/MG, vinculadas ao projeto político-pedagógico da unidade de ensino.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27" type="#_x0000_t75" style="width:20.25pt;height:18pt" o:ole="">
            <v:imagedata r:id="rId4" o:title=""/>
          </v:shape>
          <w:control r:id="rId55" w:name="DefaultOcxName210" w:shapeid="_x0000_i1227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c. Obter recursos por meio de locação de espaço da unidade escolar.</w:t>
      </w:r>
    </w:p>
    <w:p w:rsidR="00F313EA" w:rsidRPr="00F313EA" w:rsidRDefault="00F313EA" w:rsidP="00F313EA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30" type="#_x0000_t75" style="width:20.25pt;height:18pt" o:ole="">
            <v:imagedata r:id="rId4" o:title=""/>
          </v:shape>
          <w:control r:id="rId56" w:name="DefaultOcxName39" w:shapeid="_x0000_i1230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d. Adquirir materiais escolares que caracterizem assistência ao educando.</w:t>
      </w:r>
    </w:p>
    <w:p w:rsidR="00F313EA" w:rsidRP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F313EA">
        <w:rPr>
          <w:rFonts w:ascii="Open Sans" w:eastAsia="Times New Roman" w:hAnsi="Open Sans" w:cs="Open Sans"/>
          <w:color w:val="333333"/>
        </w:rPr>
        <w:object w:dxaOrig="225" w:dyaOrig="225">
          <v:shape id="_x0000_i1233" type="#_x0000_t75" style="width:20.25pt;height:18pt" o:ole="">
            <v:imagedata r:id="rId4" o:title=""/>
          </v:shape>
          <w:control r:id="rId57" w:name="DefaultOcxName49" w:shapeid="_x0000_i1233"/>
        </w:object>
      </w:r>
      <w:r w:rsidRPr="00F313EA">
        <w:rPr>
          <w:rFonts w:ascii="Open Sans" w:eastAsia="Times New Roman" w:hAnsi="Open Sans" w:cs="Open Sans"/>
          <w:color w:val="333333"/>
          <w:lang w:eastAsia="pt-BR"/>
        </w:rPr>
        <w:t>e. Adquirir gêneros alimentícios não previstos nas preparações dos cardápios elaborados pela equipe de nutricionistas da SEE/MG.</w:t>
      </w:r>
    </w:p>
    <w:p w:rsidR="00F313EA" w:rsidRPr="00F313EA" w:rsidRDefault="00F313EA" w:rsidP="00F313EA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</w:p>
    <w:p w:rsidR="00F313EA" w:rsidRDefault="00F313EA"/>
    <w:sectPr w:rsidR="00F31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EA"/>
    <w:rsid w:val="00480C65"/>
    <w:rsid w:val="00AC49D1"/>
    <w:rsid w:val="00F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D02CA167-48CC-435C-8D29-533F988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o"/>
    <w:basedOn w:val="Normal"/>
    <w:rsid w:val="00F3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nswernumber">
    <w:name w:val="answernumber"/>
    <w:basedOn w:val="Fontepargpadro"/>
    <w:rsid w:val="00F313EA"/>
  </w:style>
  <w:style w:type="paragraph" w:styleId="NormalWeb">
    <w:name w:val="Normal (Web)"/>
    <w:basedOn w:val="Normal"/>
    <w:uiPriority w:val="99"/>
    <w:semiHidden/>
    <w:unhideWhenUsed/>
    <w:rsid w:val="00F3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3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5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1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3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8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fontTable" Target="fontTable.xml"/><Relationship Id="rId5" Type="http://schemas.openxmlformats.org/officeDocument/2006/relationships/control" Target="activeX/activeX1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7876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Educação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</dc:creator>
  <cp:keywords/>
  <dc:description/>
  <cp:lastModifiedBy>Rose Rodrigues</cp:lastModifiedBy>
  <cp:revision>2</cp:revision>
  <dcterms:created xsi:type="dcterms:W3CDTF">2018-10-31T10:23:00Z</dcterms:created>
  <dcterms:modified xsi:type="dcterms:W3CDTF">2018-10-31T10:23:00Z</dcterms:modified>
</cp:coreProperties>
</file>